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PROCEDURĂ DE EVALUARE ŞI SELECŢIE  A</w:t>
      </w:r>
    </w:p>
    <w:p>
      <w:pPr>
        <w:spacing w:line="276" w:lineRule="auto"/>
        <w:jc w:val="center"/>
        <w:rPr>
          <w:rFonts w:asciiTheme="minorHAnsi" w:hAnsiTheme="minorHAnsi"/>
          <w:b/>
          <w:sz w:val="48"/>
          <w:szCs w:val="48"/>
        </w:rPr>
      </w:pP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PROIECTELOR</w:t>
      </w: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 xml:space="preserve">VERSIUNEA  </w:t>
      </w:r>
      <w:r>
        <w:rPr>
          <w:rFonts w:hint="default" w:eastAsia="Calibri" w:asciiTheme="minorHAnsi" w:hAnsiTheme="minorHAnsi"/>
          <w:b/>
          <w:sz w:val="48"/>
          <w:szCs w:val="48"/>
          <w:lang w:val="ro-RO"/>
        </w:rPr>
        <w:t xml:space="preserve">NOIEMBRIE </w:t>
      </w:r>
      <w:r>
        <w:rPr>
          <w:rFonts w:eastAsia="Calibri" w:asciiTheme="minorHAnsi" w:hAnsiTheme="minorHAnsi"/>
          <w:b/>
          <w:sz w:val="48"/>
          <w:szCs w:val="48"/>
        </w:rPr>
        <w:t>2023</w:t>
      </w: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Tabel cu termenele aferente activităților prevăzute în cadrul</w:t>
      </w: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Procedurii de evaluare și selecție a proiectelor</w:t>
      </w:r>
    </w:p>
    <w:p>
      <w:pPr>
        <w:spacing w:line="276" w:lineRule="auto"/>
        <w:jc w:val="center"/>
        <w:rPr>
          <w:rFonts w:eastAsia="Calibri" w:asciiTheme="minorHAnsi" w:hAnsiTheme="minorHAnsi"/>
          <w:b/>
          <w:sz w:val="48"/>
          <w:szCs w:val="48"/>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4928"/>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Nr. crt</w:t>
            </w:r>
          </w:p>
        </w:tc>
        <w:tc>
          <w:tcPr>
            <w:tcW w:w="4928"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Denumireactivitate</w:t>
            </w:r>
          </w:p>
        </w:tc>
        <w:tc>
          <w:tcPr>
            <w:tcW w:w="3969"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Masura M4/6B ”IMPLICARE SOCIALĂ”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21"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1</w:t>
            </w:r>
          </w:p>
        </w:tc>
        <w:tc>
          <w:tcPr>
            <w:tcW w:w="4928"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Perioada de depunere a proiectelor</w:t>
            </w:r>
          </w:p>
        </w:tc>
        <w:tc>
          <w:tcPr>
            <w:tcW w:w="3969" w:type="dxa"/>
          </w:tcPr>
          <w:p>
            <w:pPr>
              <w:spacing w:line="276" w:lineRule="auto"/>
              <w:jc w:val="center"/>
              <w:rPr>
                <w:rFonts w:eastAsia="Calibri" w:asciiTheme="minorHAnsi" w:hAnsiTheme="minorHAnsi"/>
                <w:b/>
                <w:sz w:val="28"/>
                <w:szCs w:val="28"/>
              </w:rPr>
            </w:pPr>
            <w:r>
              <w:rPr>
                <w:rFonts w:hint="default" w:eastAsia="Calibri" w:asciiTheme="minorHAnsi" w:hAnsiTheme="minorHAnsi"/>
                <w:b/>
                <w:sz w:val="28"/>
                <w:szCs w:val="28"/>
                <w:lang w:val="ro-RO"/>
              </w:rPr>
              <w:t>18</w:t>
            </w:r>
            <w:r>
              <w:rPr>
                <w:rFonts w:eastAsia="Calibri" w:asciiTheme="minorHAnsi" w:hAnsiTheme="minorHAnsi"/>
                <w:b/>
                <w:sz w:val="28"/>
                <w:szCs w:val="28"/>
              </w:rPr>
              <w:t xml:space="preserve"> </w:t>
            </w:r>
            <w:r>
              <w:rPr>
                <w:rFonts w:hint="default" w:eastAsia="Calibri" w:asciiTheme="minorHAnsi" w:hAnsiTheme="minorHAnsi"/>
                <w:b/>
                <w:sz w:val="28"/>
                <w:szCs w:val="28"/>
                <w:lang w:val="ro-RO"/>
              </w:rPr>
              <w:t>Decembrie</w:t>
            </w:r>
            <w:r>
              <w:rPr>
                <w:rFonts w:eastAsia="Calibri" w:asciiTheme="minorHAnsi" w:hAnsiTheme="minorHAnsi"/>
                <w:b/>
                <w:sz w:val="28"/>
                <w:szCs w:val="28"/>
              </w:rPr>
              <w:t xml:space="preserve"> 2023- </w:t>
            </w:r>
            <w:r>
              <w:rPr>
                <w:rFonts w:hint="default" w:eastAsia="Calibri" w:asciiTheme="minorHAnsi" w:hAnsiTheme="minorHAnsi"/>
                <w:b/>
                <w:sz w:val="28"/>
                <w:szCs w:val="28"/>
                <w:lang w:val="ro-RO"/>
              </w:rPr>
              <w:t>27 Decembrie</w:t>
            </w:r>
            <w:r>
              <w:rPr>
                <w:rFonts w:eastAsia="Calibri" w:asciiTheme="minorHAnsi" w:hAnsiTheme="minorHAnsi"/>
                <w:b/>
                <w:sz w:val="28"/>
                <w:szCs w:val="28"/>
              </w:rPr>
              <w:t xml:space="preserve">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2</w:t>
            </w:r>
          </w:p>
        </w:tc>
        <w:tc>
          <w:tcPr>
            <w:tcW w:w="4928"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Punctajul minim admis la finanțare</w:t>
            </w:r>
          </w:p>
        </w:tc>
        <w:tc>
          <w:tcPr>
            <w:tcW w:w="3969"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10 PUNCTE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3</w:t>
            </w:r>
          </w:p>
        </w:tc>
        <w:tc>
          <w:tcPr>
            <w:tcW w:w="4928"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Perioada de elaborare a raportului de evaluare</w:t>
            </w:r>
          </w:p>
        </w:tc>
        <w:tc>
          <w:tcPr>
            <w:tcW w:w="3969" w:type="dxa"/>
          </w:tcPr>
          <w:p>
            <w:pPr>
              <w:spacing w:line="276" w:lineRule="auto"/>
              <w:jc w:val="center"/>
              <w:rPr>
                <w:rFonts w:hint="default" w:eastAsia="Calibri" w:asciiTheme="minorHAnsi" w:hAnsiTheme="minorHAnsi"/>
                <w:b/>
                <w:sz w:val="28"/>
                <w:szCs w:val="28"/>
                <w:lang w:val="ro-RO"/>
              </w:rPr>
            </w:pPr>
            <w:r>
              <w:rPr>
                <w:rFonts w:eastAsia="Calibri" w:asciiTheme="minorHAnsi" w:hAnsiTheme="minorHAnsi"/>
                <w:b/>
                <w:sz w:val="28"/>
                <w:szCs w:val="28"/>
              </w:rPr>
              <w:t xml:space="preserve">31 </w:t>
            </w:r>
            <w:r>
              <w:rPr>
                <w:rFonts w:hint="default" w:eastAsia="Calibri" w:asciiTheme="minorHAnsi" w:hAnsiTheme="minorHAnsi"/>
                <w:b/>
                <w:sz w:val="28"/>
                <w:szCs w:val="28"/>
                <w:lang w:val="ro-RO"/>
              </w:rPr>
              <w:t>Ianuarie</w:t>
            </w:r>
            <w:r>
              <w:rPr>
                <w:rFonts w:eastAsia="Calibri" w:asciiTheme="minorHAnsi" w:hAnsiTheme="minorHAnsi"/>
                <w:b/>
                <w:sz w:val="28"/>
                <w:szCs w:val="28"/>
              </w:rPr>
              <w:t xml:space="preserve"> 202</w:t>
            </w:r>
            <w:r>
              <w:rPr>
                <w:rFonts w:hint="default" w:eastAsia="Calibri" w:asciiTheme="minorHAnsi" w:hAnsiTheme="minorHAnsi"/>
                <w:b/>
                <w:sz w:val="28"/>
                <w:szCs w:val="28"/>
                <w:lang w:val="ro-RO"/>
              </w:rPr>
              <w:t>4</w:t>
            </w:r>
            <w:bookmarkStart w:id="11" w:name="_GoBack"/>
            <w:bookmarkEnd w:id="11"/>
          </w:p>
        </w:tc>
      </w:tr>
    </w:tbl>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sectPr>
          <w:headerReference r:id="rId3" w:type="default"/>
          <w:footerReference r:id="rId4" w:type="default"/>
          <w:footerReference r:id="rId5" w:type="even"/>
          <w:pgSz w:w="12240" w:h="15840"/>
          <w:pgMar w:top="1720" w:right="940" w:bottom="280" w:left="1300" w:header="427" w:footer="861" w:gutter="0"/>
          <w:pgNumType w:start="1"/>
          <w:cols w:space="720" w:num="1"/>
        </w:sectPr>
      </w:pPr>
    </w:p>
    <w:p>
      <w:pPr>
        <w:spacing w:line="276" w:lineRule="auto"/>
        <w:jc w:val="both"/>
        <w:rPr>
          <w:rFonts w:asciiTheme="minorHAnsi" w:hAnsiTheme="minorHAnsi"/>
        </w:rPr>
      </w:pPr>
    </w:p>
    <w:sdt>
      <w:sdtPr>
        <w:rPr>
          <w:rFonts w:ascii="Times New Roman" w:hAnsi="Times New Roman" w:eastAsia="Times New Roman" w:cs="Times New Roman"/>
          <w:b w:val="0"/>
          <w:bCs w:val="0"/>
          <w:color w:val="auto"/>
          <w:sz w:val="24"/>
          <w:szCs w:val="24"/>
        </w:rPr>
        <w:id w:val="320019348"/>
        <w:docPartObj>
          <w:docPartGallery w:val="Table of Contents"/>
          <w:docPartUnique/>
        </w:docPartObj>
      </w:sdtPr>
      <w:sdtEndPr>
        <w:rPr>
          <w:rFonts w:ascii="Times New Roman" w:hAnsi="Times New Roman" w:eastAsia="Times New Roman" w:cs="Times New Roman"/>
          <w:b w:val="0"/>
          <w:bCs w:val="0"/>
          <w:color w:val="auto"/>
          <w:sz w:val="24"/>
          <w:szCs w:val="24"/>
        </w:rPr>
      </w:sdtEndPr>
      <w:sdtContent>
        <w:p>
          <w:pPr>
            <w:pStyle w:val="44"/>
          </w:pPr>
          <w:r>
            <w:t>Cuprins</w:t>
          </w:r>
        </w:p>
        <w:p>
          <w:pPr>
            <w:pStyle w:val="22"/>
            <w:tabs>
              <w:tab w:val="left" w:pos="480"/>
              <w:tab w:val="right" w:leader="dot" w:pos="9990"/>
            </w:tabs>
            <w:rPr>
              <w:rFonts w:eastAsiaTheme="minorEastAsia" w:cstheme="minorBidi"/>
              <w:b w:val="0"/>
            </w:rPr>
          </w:pPr>
          <w:r>
            <w:rPr>
              <w:b w:val="0"/>
            </w:rPr>
            <w:fldChar w:fldCharType="begin"/>
          </w:r>
          <w:r>
            <w:instrText xml:space="preserve"> TOC \o "1-3" \h \z \u </w:instrText>
          </w:r>
          <w:r>
            <w:rPr>
              <w:b w:val="0"/>
            </w:rPr>
            <w:fldChar w:fldCharType="separate"/>
          </w:r>
          <w:r>
            <w:fldChar w:fldCharType="begin"/>
          </w:r>
          <w:r>
            <w:instrText xml:space="preserve"> HYPERLINK \l "_Toc503861717" </w:instrText>
          </w:r>
          <w:r>
            <w:fldChar w:fldCharType="separate"/>
          </w:r>
          <w:r>
            <w:rPr>
              <w:rStyle w:val="19"/>
            </w:rPr>
            <w:t>1.</w:t>
          </w:r>
          <w:r>
            <w:rPr>
              <w:rFonts w:eastAsiaTheme="minorEastAsia" w:cstheme="minorBidi"/>
              <w:b w:val="0"/>
            </w:rPr>
            <w:tab/>
          </w:r>
          <w:r>
            <w:rPr>
              <w:rStyle w:val="19"/>
            </w:rPr>
            <w:t>DEFINIŢII ŞI ABREVIERI</w:t>
          </w:r>
          <w:r>
            <w:tab/>
          </w:r>
          <w:r>
            <w:fldChar w:fldCharType="end"/>
          </w:r>
          <w:r>
            <w:t xml:space="preserve"> 4</w:t>
          </w:r>
        </w:p>
        <w:p>
          <w:pPr>
            <w:pStyle w:val="22"/>
            <w:tabs>
              <w:tab w:val="right" w:leader="dot" w:pos="9990"/>
            </w:tabs>
            <w:rPr>
              <w:rFonts w:eastAsiaTheme="minorEastAsia" w:cstheme="minorBidi"/>
              <w:b w:val="0"/>
            </w:rPr>
          </w:pPr>
          <w:r>
            <w:fldChar w:fldCharType="begin"/>
          </w:r>
          <w:r>
            <w:instrText xml:space="preserve"> HYPERLINK \l "_Toc503861718" </w:instrText>
          </w:r>
          <w:r>
            <w:fldChar w:fldCharType="separate"/>
          </w:r>
          <w:r>
            <w:rPr>
              <w:rStyle w:val="19"/>
            </w:rPr>
            <w:t>2. PREVEDERI GENERALE</w:t>
          </w:r>
          <w:r>
            <w:tab/>
          </w:r>
          <w:r>
            <w:fldChar w:fldCharType="end"/>
          </w:r>
          <w:r>
            <w:t xml:space="preserve"> 7</w:t>
          </w:r>
        </w:p>
        <w:p>
          <w:pPr>
            <w:pStyle w:val="22"/>
            <w:tabs>
              <w:tab w:val="right" w:leader="dot" w:pos="9990"/>
            </w:tabs>
            <w:rPr>
              <w:rFonts w:eastAsiaTheme="minorEastAsia" w:cstheme="minorBidi"/>
              <w:b w:val="0"/>
            </w:rPr>
          </w:pPr>
          <w:r>
            <w:fldChar w:fldCharType="begin"/>
          </w:r>
          <w:r>
            <w:instrText xml:space="preserve"> HYPERLINK \l "_Toc503861719" </w:instrText>
          </w:r>
          <w:r>
            <w:fldChar w:fldCharType="separate"/>
          </w:r>
          <w:r>
            <w:rPr>
              <w:rStyle w:val="19"/>
            </w:rPr>
            <w:t>3.PREZENTAREA ORGANELOR DE EVALUARE ŞI SELECŢIE LA NIVEL DE GAL</w:t>
          </w:r>
          <w:r>
            <w:tab/>
          </w:r>
          <w:r>
            <w:fldChar w:fldCharType="end"/>
          </w:r>
          <w:r>
            <w:t>8</w:t>
          </w:r>
        </w:p>
        <w:p>
          <w:pPr>
            <w:pStyle w:val="22"/>
            <w:tabs>
              <w:tab w:val="right" w:leader="dot" w:pos="9990"/>
            </w:tabs>
            <w:rPr>
              <w:rFonts w:eastAsiaTheme="minorEastAsia" w:cstheme="minorBidi"/>
              <w:b w:val="0"/>
            </w:rPr>
          </w:pPr>
          <w:r>
            <w:fldChar w:fldCharType="begin"/>
          </w:r>
          <w:r>
            <w:instrText xml:space="preserve"> HYPERLINK \l "_Toc503861720" </w:instrText>
          </w:r>
          <w:r>
            <w:fldChar w:fldCharType="separate"/>
          </w:r>
          <w:r>
            <w:rPr>
              <w:rStyle w:val="19"/>
            </w:rPr>
            <w:t>4. DERULAREA PROCESULUI DE SELECȚIE LA NIVELUL GRUPURILOR DE ACȚIUNE LOCALĂ</w:t>
          </w:r>
          <w:r>
            <w:tab/>
          </w:r>
          <w:r>
            <w:fldChar w:fldCharType="end"/>
          </w:r>
          <w:r>
            <w:t xml:space="preserve"> 13</w:t>
          </w:r>
        </w:p>
        <w:p>
          <w:pPr>
            <w:pStyle w:val="22"/>
            <w:tabs>
              <w:tab w:val="right" w:leader="dot" w:pos="9990"/>
            </w:tabs>
            <w:rPr>
              <w:rFonts w:eastAsiaTheme="minorEastAsia" w:cstheme="minorBidi"/>
              <w:b w:val="0"/>
            </w:rPr>
          </w:pPr>
          <w:r>
            <w:fldChar w:fldCharType="begin"/>
          </w:r>
          <w:r>
            <w:instrText xml:space="preserve"> HYPERLINK \l "_Toc503861721" </w:instrText>
          </w:r>
          <w:r>
            <w:fldChar w:fldCharType="separate"/>
          </w:r>
          <w:r>
            <w:rPr>
              <w:rStyle w:val="19"/>
            </w:rPr>
            <w:t>5. SELECŢIA INTERMEDIARĂ A PROIECTELOR</w:t>
          </w:r>
          <w:r>
            <w:tab/>
          </w:r>
          <w:r>
            <w:fldChar w:fldCharType="end"/>
          </w:r>
          <w:r>
            <w:t>24</w:t>
          </w:r>
        </w:p>
        <w:p>
          <w:pPr>
            <w:pStyle w:val="22"/>
            <w:tabs>
              <w:tab w:val="right" w:leader="dot" w:pos="9990"/>
            </w:tabs>
            <w:rPr>
              <w:rFonts w:eastAsiaTheme="minorEastAsia" w:cstheme="minorBidi"/>
              <w:b w:val="0"/>
            </w:rPr>
          </w:pPr>
          <w:r>
            <w:fldChar w:fldCharType="begin"/>
          </w:r>
          <w:r>
            <w:instrText xml:space="preserve"> HYPERLINK \l "_Toc503861722" </w:instrText>
          </w:r>
          <w:r>
            <w:fldChar w:fldCharType="separate"/>
          </w:r>
          <w:r>
            <w:rPr>
              <w:rStyle w:val="19"/>
            </w:rPr>
            <w:t>6. SOLUŢIONAREA CONTESTAŢIILOR CU PRIVIRE LA REZULTATUL EVALUĂRII PROIECTELOR</w:t>
          </w:r>
          <w:r>
            <w:tab/>
          </w:r>
          <w:r>
            <w:fldChar w:fldCharType="end"/>
          </w:r>
          <w:r>
            <w:t>26</w:t>
          </w:r>
        </w:p>
        <w:p>
          <w:pPr>
            <w:pStyle w:val="22"/>
            <w:tabs>
              <w:tab w:val="right" w:leader="dot" w:pos="9990"/>
            </w:tabs>
            <w:rPr>
              <w:rFonts w:eastAsiaTheme="minorEastAsia" w:cstheme="minorBidi"/>
              <w:b w:val="0"/>
            </w:rPr>
          </w:pPr>
          <w:r>
            <w:fldChar w:fldCharType="begin"/>
          </w:r>
          <w:r>
            <w:instrText xml:space="preserve"> HYPERLINK \l "_Toc503861723" </w:instrText>
          </w:r>
          <w:r>
            <w:fldChar w:fldCharType="separate"/>
          </w:r>
          <w:r>
            <w:rPr>
              <w:rStyle w:val="19"/>
            </w:rPr>
            <w:t>7. SELECŢIA FINALĂ A PROIECTELOR</w:t>
          </w:r>
          <w:r>
            <w:tab/>
          </w:r>
          <w:r>
            <w:fldChar w:fldCharType="end"/>
          </w:r>
          <w:r>
            <w:t>29</w:t>
          </w:r>
        </w:p>
        <w:p>
          <w:pPr>
            <w:pStyle w:val="22"/>
            <w:tabs>
              <w:tab w:val="right" w:leader="dot" w:pos="9990"/>
            </w:tabs>
            <w:rPr>
              <w:rFonts w:eastAsiaTheme="minorEastAsia" w:cstheme="minorBidi"/>
              <w:b w:val="0"/>
            </w:rPr>
          </w:pPr>
          <w:r>
            <w:fldChar w:fldCharType="begin"/>
          </w:r>
          <w:r>
            <w:instrText xml:space="preserve"> HYPERLINK \l "_Toc503861724" </w:instrText>
          </w:r>
          <w:r>
            <w:fldChar w:fldCharType="separate"/>
          </w:r>
          <w:r>
            <w:rPr>
              <w:rStyle w:val="19"/>
            </w:rPr>
            <w:t>8. SELECŢIA SUPLIMENTARA A PROIECTELOR</w:t>
          </w:r>
          <w:r>
            <w:tab/>
          </w:r>
          <w:r>
            <w:fldChar w:fldCharType="end"/>
          </w:r>
          <w:r>
            <w:t>30</w:t>
          </w:r>
        </w:p>
        <w:p>
          <w:pPr>
            <w:pStyle w:val="22"/>
            <w:tabs>
              <w:tab w:val="right" w:leader="dot" w:pos="9990"/>
            </w:tabs>
            <w:rPr>
              <w:rFonts w:eastAsiaTheme="minorEastAsia" w:cstheme="minorBidi"/>
              <w:b w:val="0"/>
            </w:rPr>
          </w:pPr>
          <w:r>
            <w:fldChar w:fldCharType="begin"/>
          </w:r>
          <w:r>
            <w:instrText xml:space="preserve"> HYPERLINK \l "_Toc503861725" </w:instrText>
          </w:r>
          <w:r>
            <w:fldChar w:fldCharType="separate"/>
          </w:r>
          <w:r>
            <w:rPr>
              <w:rStyle w:val="19"/>
            </w:rPr>
            <w:t>9. TRANSMITEREA CERERILOR DE FINANŢARE SELECTATE ŞI A DOCUMENTELOR AFERENTE ACESTORA CĂTRE AFIR</w:t>
          </w:r>
          <w:r>
            <w:tab/>
          </w:r>
          <w:r>
            <w:fldChar w:fldCharType="end"/>
          </w:r>
          <w:r>
            <w:t>33</w:t>
          </w:r>
        </w:p>
        <w:p>
          <w:pPr>
            <w:pStyle w:val="22"/>
            <w:tabs>
              <w:tab w:val="right" w:leader="dot" w:pos="9990"/>
            </w:tabs>
            <w:rPr>
              <w:rFonts w:eastAsiaTheme="minorEastAsia" w:cstheme="minorBidi"/>
              <w:b w:val="0"/>
            </w:rPr>
          </w:pPr>
          <w:r>
            <w:fldChar w:fldCharType="begin"/>
          </w:r>
          <w:r>
            <w:instrText xml:space="preserve"> HYPERLINK \l "_Toc503861726" </w:instrText>
          </w:r>
          <w:r>
            <w:fldChar w:fldCharType="separate"/>
          </w:r>
          <w:r>
            <w:rPr>
              <w:rStyle w:val="19"/>
            </w:rPr>
            <w:t>10. FORMULARE</w:t>
          </w:r>
          <w:r>
            <w:tab/>
          </w:r>
          <w:r>
            <w:fldChar w:fldCharType="end"/>
          </w:r>
          <w:r>
            <w:t>36</w:t>
          </w:r>
        </w:p>
        <w:p>
          <w:r>
            <w:rPr>
              <w:b/>
              <w:bCs/>
            </w:rPr>
            <w:fldChar w:fldCharType="end"/>
          </w:r>
        </w:p>
      </w:sdtContent>
    </w:sdt>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pStyle w:val="2"/>
        <w:numPr>
          <w:ilvl w:val="0"/>
          <w:numId w:val="2"/>
        </w:numPr>
      </w:pPr>
      <w:bookmarkStart w:id="0" w:name="_Toc503861717"/>
      <w:r>
        <w:t>DEFINIŢII ŞI ABREVIERI</w:t>
      </w:r>
      <w:bookmarkEnd w:id="0"/>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b/>
        </w:rPr>
        <w:pict>
          <v:group id="Group 48" o:spid="_x0000_s1026" o:spt="203" style="position:absolute;left:0pt;margin-left:70.55pt;margin-top:0.55pt;height:16.8pt;width:488.95pt;mso-position-horizontal-relative:page;z-index:-251657216;mso-width-relative:page;mso-height-relative:page;" coordorigin="1412,12" coordsize="9779,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">
            <o:lock v:ext="edit"/>
            <v:shape id="Freeform 49" o:spid="_x0000_s1027" style="position:absolute;left:1412;top:12;height:336;width:9779;" fillcolor="#C5D9F0" filled="t" stroked="f" coordsize="977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" path="m0,336l9779,336,9779,0,0,0,0,336xe">
              <v:path arrowok="t" o:connecttype="custom" o:connectlocs="0,348;9779,348;9779,12;0,12;0,348" o:connectangles="0,0,0,0,0"/>
              <v:fill on="t" focussize="0,0"/>
              <v:stroke on="f"/>
              <v:imagedata o:title=""/>
              <o:lock v:ext="edit"/>
            </v:shape>
          </v:group>
        </w:pict>
      </w:r>
      <w:r>
        <w:rPr>
          <w:rFonts w:eastAsia="Calibri" w:asciiTheme="minorHAnsi" w:hAnsiTheme="minorHAnsi"/>
          <w:b/>
        </w:rPr>
        <w:t>1.1 Definiţii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Beneficiar – organizație public sau privată care preia responsabilitatea realizării unui proiect si care pentru care a fost emisă o Decizie de finanțare de către AFIR/care a încheiat un Contract de finanțare cu AFIR, pentru accesarea fondurilor europene prin FEADR/EURI;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Cerere  definanțare  –  document  depus  de  către  un  solicitant  în vederea obținerii sprijinului</w:t>
      </w:r>
    </w:p>
    <w:p>
      <w:pPr>
        <w:spacing w:line="276" w:lineRule="auto"/>
        <w:jc w:val="both"/>
        <w:rPr>
          <w:rFonts w:eastAsia="Calibri" w:asciiTheme="minorHAnsi" w:hAnsiTheme="minorHAnsi"/>
        </w:rPr>
      </w:pPr>
      <w:r>
        <w:rPr>
          <w:rFonts w:eastAsia="Calibri" w:asciiTheme="minorHAnsi" w:hAnsiTheme="minorHAnsi"/>
        </w:rPr>
        <w:t>Financiar nerambursabil;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Contract/Decizie de Finanțare  – reprezintă documentul juridic încheiat în condiţiile legii între Agenţia pentru Finanţarea Investiţiilor Rurale, încalitate de Autoritate Contractantă şi beneficiar, prin care se stabilesc obiectul, drepturile şi obligaţiile părţilor, durata de valabilitate, valoarea, plata, precum şi alte dispoziţii şi condiţii specifice, prin care se acordă asistenţă financiară nerambursabilă  din  FEADR/EURI  şi  de  la  bugetul  de  stat,  în scopul atingerii obiectivelor măsurilor cuprinse în  PNDR 2014-2020;</w:t>
      </w:r>
    </w:p>
    <w:p>
      <w:pPr>
        <w:spacing w:line="276" w:lineRule="auto"/>
        <w:jc w:val="both"/>
        <w:rPr>
          <w:rFonts w:eastAsia="Calibri" w:asciiTheme="minorHAnsi" w:hAnsiTheme="minorHAnsi"/>
        </w:rPr>
      </w:pPr>
      <w:r>
        <w:rPr>
          <w:rFonts w:eastAsia="Calibri" w:asciiTheme="minorHAnsi" w:hAnsiTheme="minorHAnsi"/>
        </w:rPr>
        <w:t>Conformitate- etapa de verificare a proiectului ce constă în verificarea corectitudinii intocmirii cererii de finantare, existente și tuturor documentelor menţionate şi că acestea îndeplinesc condiţiile cerute.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Dosarul cererii de finanţare – cererea de finanţare împreună cu documentele anexate;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Eligibilitate – suma criteriilor pe care un solicitant trebuie să le îndeplinească în vederea obținerii</w:t>
      </w:r>
    </w:p>
    <w:p>
      <w:pPr>
        <w:spacing w:line="276" w:lineRule="auto"/>
        <w:jc w:val="both"/>
        <w:rPr>
          <w:rFonts w:eastAsia="Calibri" w:asciiTheme="minorHAnsi" w:hAnsiTheme="minorHAnsi"/>
        </w:rPr>
      </w:pPr>
      <w:r>
        <w:rPr>
          <w:rFonts w:eastAsia="Calibri" w:asciiTheme="minorHAnsi" w:hAnsiTheme="minorHAnsi"/>
        </w:rPr>
        <w:t>finanțării prin Măsurile din FEADR/EURI;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Evaluare – acţiune procedural prin care documentaţia ce însoţeşte cererea de finanţare este analizată pentru verificarea îndeplinirii criteriilor de eligibilitate şi pentru selectarea proiectului în vederea contractării;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Fonduri nerambursabile – reprezintă fondurile acordate unei personae fizice sau juridice în baza unor criterii de eligibilitate pentru realizarea de investiții/servicii în cadrate în aria de finanțare a Măsurii și care nu trebuie returnate – singurele excepții sunt nerespectarea condițiilor contractuale și nerealizarea investiției/serviciului conform proiectului aprobat de AFIR;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Grup de AcțiuneLocală (GAL) – reprezintă un parteneriat local, alcătuit din reprezentanţi ai instituţiilorşiautorităţilorpublice locale, ai sectoruluiprivatşi ai societăţii civile, constituitpotrivitprevederilorOrdonanţeiGuvernului nr. 26/2000 cu privire la asociaţiişifundaţii, cu modificărileşicompletărileulterioare;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LEADER – Măsură din cadrul PNDR ce are ca obiectivdezvoltareacomunitățilorrurale ca urmare a implementăriistrategiilor  elaborate  de  către  GAL.  Provine  dinlimbafranceză  „Liaisons  Entre Actions de Developpement de l’EconomieRurale” – „LegăturiîntreAcțiunipentruDezvoltareaEconomieiRurale”;</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 xml:space="preserve">Măsura – </w:t>
      </w:r>
      <w:r>
        <w:rPr>
          <w:rFonts w:asciiTheme="minorHAnsi" w:hAnsiTheme="minorHAnsi" w:cstheme="minorHAnsi"/>
        </w:rPr>
        <w:t>înseamnă un set de operațiuni care contribuie la realizarea uneia sau mai multora dintre prioritățile Uniunii Europene în materie de dezvoltare rurală</w:t>
      </w:r>
      <w:r>
        <w:rPr>
          <w:rFonts w:eastAsia="Calibri" w:asciiTheme="minorHAnsi" w:hAnsiTheme="minorHAnsi"/>
        </w:rPr>
        <w:t>;</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Reprezentantul legal – persoanadesemnatăsăreprezintesolicitantulînrelatiacontractuală cu</w:t>
      </w:r>
    </w:p>
    <w:p>
      <w:pPr>
        <w:spacing w:line="276" w:lineRule="auto"/>
        <w:contextualSpacing/>
        <w:jc w:val="both"/>
        <w:rPr>
          <w:rFonts w:eastAsia="Calibri" w:asciiTheme="minorHAnsi" w:hAnsiTheme="minorHAnsi"/>
        </w:rPr>
      </w:pPr>
      <w:r>
        <w:rPr>
          <w:rFonts w:eastAsia="Calibri" w:asciiTheme="minorHAnsi" w:hAnsiTheme="minorHAnsi"/>
        </w:rPr>
        <w:t>AFIR, conform legislatieiînvigoare;</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Sesiune de depunere – perioadacalendaristicăîncadrulcăreia GAL PlatoulMehedintipoateprimiproiecte din parteapotenţialilorbeneficiari;</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Sesiune de selecţie – lucrărileComitetului de Selecţieşi ale Comisiei de Contestaţii, concretizateîndeciziafinală de finanţare;</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Solicitant – reprezintă o persoanăjuridică/persoanăfizicăautorizată care esteeligibilă (care îndeplineștetoatecondițiileimpuse) pentruaccesareafonduriloreuropene, dar care nu a încheiatîncă un Contract de finanțare/Decizie de finanțare cu AFIR;</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Strategie  deDezvoltareLocală  -  Document  cetrebuietransmis de potențialele  GAL-uricătreAutoritatea de  Management și care vasta la bazaselecțieiacestora. Prinacest document se stabilescactivitățileșiresurselenecesarepentrudezvoltareacomunitățilorruraleșimăsurile</w:t>
      </w:r>
    </w:p>
    <w:p>
      <w:pPr>
        <w:spacing w:line="276" w:lineRule="auto"/>
        <w:contextualSpacing/>
        <w:jc w:val="both"/>
        <w:rPr>
          <w:rFonts w:eastAsia="Calibri" w:asciiTheme="minorHAnsi" w:hAnsiTheme="minorHAnsi"/>
        </w:rPr>
      </w:pPr>
      <w:r>
        <w:rPr>
          <w:rFonts w:eastAsia="Calibri" w:asciiTheme="minorHAnsi" w:hAnsiTheme="minorHAnsi"/>
        </w:rPr>
        <w:t>specificezonei LEADER;</w:t>
      </w:r>
    </w:p>
    <w:p>
      <w:pPr>
        <w:spacing w:line="276" w:lineRule="auto"/>
        <w:contextualSpacing/>
        <w:jc w:val="both"/>
        <w:rPr>
          <w:rFonts w:eastAsia="Calibri" w:asciiTheme="minorHAnsi" w:hAnsiTheme="minorHAnsi"/>
        </w:rPr>
      </w:pPr>
    </w:p>
    <w:p>
      <w:pPr>
        <w:spacing w:line="276" w:lineRule="auto"/>
        <w:contextualSpacing/>
        <w:jc w:val="both"/>
        <w:rPr>
          <w:rFonts w:asciiTheme="minorHAnsi" w:hAnsiTheme="minorHAnsi" w:cstheme="minorHAnsi"/>
          <w:b/>
          <w:bCs/>
        </w:rPr>
      </w:pPr>
      <w:r>
        <w:rPr>
          <w:rFonts w:asciiTheme="minorHAnsi" w:hAnsiTheme="minorHAnsi" w:cstheme="minorHAnsi"/>
          <w:bCs/>
        </w:rPr>
        <w:t>„mijloace de comunicare la distanță”</w:t>
      </w:r>
      <w:r>
        <w:rPr>
          <w:rFonts w:asciiTheme="minorHAnsi" w:hAnsiTheme="minorHAnsi" w:cstheme="minorHAnsi"/>
        </w:rPr>
        <w:t xml:space="preserve"> – în sensul prezentului Ghid, se consideră mijloc de comunicare la distanță poșta electronică, sistemul online prin teleconferință sau videoconferință, sistemul de curierat rapid.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rPr>
        <w:pict>
          <v:group id="Group 46" o:spid="_x0000_s1045" o:spt="203" style="position:absolute;left:0pt;margin-left:70.55pt;margin-top:0.55pt;height:16.9pt;width:488.95pt;mso-position-horizontal-relative:page;z-index:-251656192;mso-width-relative:page;mso-height-relative:page;" coordorigin="1412,12" coordsize="9779,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">
            <o:lock v:ext="edit"/>
            <v:shape id="Freeform 47" o:spid="_x0000_s1046" style="position:absolute;left:1412;top:12;height:338;width:9779;" fillcolor="#C5D9F0" filled="t" stroked="f"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" path="m0,338l9779,338,9779,0,0,0,0,338xe">
              <v:path arrowok="t" o:connecttype="custom" o:connectlocs="0,350;9779,350;9779,12;0,12;0,350" o:connectangles="0,0,0,0,0"/>
              <v:fill on="t" focussize="0,0"/>
              <v:stroke on="f"/>
              <v:imagedata o:title=""/>
              <o:lock v:ext="edit"/>
            </v:shape>
          </v:group>
        </w:pict>
      </w:r>
      <w:r>
        <w:rPr>
          <w:rFonts w:eastAsia="Calibri" w:asciiTheme="minorHAnsi" w:hAnsiTheme="minorHAnsi"/>
          <w:b/>
        </w:rPr>
        <w:t>1.2 Abrevieri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PNDR – Programul Național de Dezvoltare Rurală, este documentul pe baza căruia va putea fi accesat Fondul European Agricol pentru Dezvoltare Rurală şi care respectă liniile directoare strategice de dezvoltare rurală ale Uniunii Europene;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FEADR – Fondul European Agricol pentru Dezvoltare Rurală, este un instrument de finanţare creat de Uniunea Europeană pentru implementarea Politicii Agricole Comune;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MADR – Ministerul Agriculturii și Dezvoltării Rurale;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DGDR-AM  PNDR  –  Direcția  Generală  Dezvoltare  Rurală  -  Autoritatea  de  Management  pentru</w:t>
      </w:r>
    </w:p>
    <w:p>
      <w:pPr>
        <w:spacing w:line="276" w:lineRule="auto"/>
        <w:jc w:val="both"/>
        <w:rPr>
          <w:rFonts w:eastAsia="Calibri" w:asciiTheme="minorHAnsi" w:hAnsiTheme="minorHAnsi"/>
        </w:rPr>
      </w:pPr>
      <w:r>
        <w:rPr>
          <w:rFonts w:eastAsia="Calibri" w:asciiTheme="minorHAnsi" w:hAnsiTheme="minorHAnsi"/>
        </w:rPr>
        <w:t>Programul Național de Dezvoltare Rurală;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AFIR –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pPr>
        <w:spacing w:line="276" w:lineRule="auto"/>
        <w:jc w:val="both"/>
        <w:rPr>
          <w:rFonts w:asciiTheme="minorHAnsi" w:hAnsiTheme="minorHAnsi"/>
        </w:rPr>
      </w:pPr>
    </w:p>
    <w:p>
      <w:pPr>
        <w:spacing w:line="276" w:lineRule="auto"/>
        <w:jc w:val="both"/>
        <w:rPr>
          <w:rFonts w:eastAsia="Calibri" w:asciiTheme="minorHAnsi" w:hAnsiTheme="minorHAnsi" w:cstheme="minorHAnsi"/>
        </w:rPr>
      </w:pPr>
      <w:r>
        <w:rPr>
          <w:rFonts w:eastAsia="Calibri" w:asciiTheme="minorHAnsi" w:hAnsiTheme="minorHAnsi" w:cstheme="minorHAnsi"/>
        </w:rPr>
        <w:t>CRFIR – Centrul Regional pentru Finanțarea Investițiilor Rurale; OJFIR – Oficiul Județean pentru Finanțarea Investițiilor Rurale; GAL – Grup de Actiune Locala;</w:t>
      </w:r>
    </w:p>
    <w:p>
      <w:pPr>
        <w:spacing w:line="276" w:lineRule="auto"/>
        <w:jc w:val="both"/>
        <w:rPr>
          <w:rFonts w:eastAsia="Calibri" w:asciiTheme="minorHAnsi" w:hAnsiTheme="minorHAnsi"/>
        </w:rPr>
      </w:pPr>
    </w:p>
    <w:p>
      <w:pPr>
        <w:spacing w:line="276" w:lineRule="auto"/>
        <w:jc w:val="both"/>
        <w:rPr>
          <w:rFonts w:asciiTheme="minorHAnsi" w:hAnsiTheme="minorHAnsi" w:eastAsiaTheme="minorEastAsia" w:cstheme="minorHAnsi"/>
          <w:lang w:eastAsia="ro-RO"/>
        </w:rPr>
      </w:pPr>
      <w:r>
        <w:rPr>
          <w:rFonts w:asciiTheme="minorHAnsi" w:hAnsiTheme="minorHAnsi" w:eastAsiaTheme="minorEastAsia" w:cstheme="minorHAnsi"/>
          <w:lang w:eastAsia="ro-RO"/>
        </w:rPr>
        <w:t>CDRJ - Compartimentul de Dezvoltare Rurală Judeţean;</w:t>
      </w:r>
    </w:p>
    <w:p>
      <w:pPr>
        <w:spacing w:line="276" w:lineRule="auto"/>
        <w:jc w:val="both"/>
        <w:rPr>
          <w:rFonts w:asciiTheme="minorHAnsi" w:hAnsiTheme="minorHAnsi" w:eastAsiaTheme="minorEastAsia" w:cstheme="minorHAnsi"/>
          <w:lang w:eastAsia="ro-RO"/>
        </w:rPr>
      </w:pPr>
    </w:p>
    <w:p>
      <w:pPr>
        <w:spacing w:line="276" w:lineRule="auto"/>
        <w:jc w:val="both"/>
        <w:rPr>
          <w:rFonts w:eastAsia="SimSun" w:asciiTheme="minorHAnsi" w:hAnsiTheme="minorHAnsi" w:cstheme="minorHAnsi"/>
          <w:lang w:eastAsia="ro-RO"/>
        </w:rPr>
      </w:pPr>
      <w:r>
        <w:rPr>
          <w:rFonts w:asciiTheme="minorHAnsi" w:hAnsiTheme="minorHAnsi" w:eastAsiaTheme="minorEastAsia" w:cstheme="minorHAnsi"/>
          <w:lang w:eastAsia="ro-RO"/>
        </w:rPr>
        <w:t xml:space="preserve">GAL - </w:t>
      </w:r>
      <w:r>
        <w:rPr>
          <w:rFonts w:eastAsia="SimSun" w:asciiTheme="minorHAnsi" w:hAnsiTheme="minorHAnsi" w:cstheme="minorHAnsi"/>
          <w:lang w:eastAsia="ro-RO"/>
        </w:rPr>
        <w:t>Grup de Acţiune Locală;</w:t>
      </w:r>
    </w:p>
    <w:p>
      <w:pPr>
        <w:spacing w:line="276" w:lineRule="auto"/>
        <w:jc w:val="both"/>
        <w:rPr>
          <w:rFonts w:eastAsia="Calibri" w:asciiTheme="minorHAnsi" w:hAnsiTheme="minorHAnsi"/>
        </w:rPr>
      </w:pPr>
    </w:p>
    <w:p>
      <w:pPr>
        <w:spacing w:line="276" w:lineRule="auto"/>
        <w:jc w:val="both"/>
        <w:rPr>
          <w:rFonts w:eastAsia="Calibri" w:asciiTheme="minorHAnsi" w:hAnsiTheme="minorHAnsi" w:cstheme="minorHAnsi"/>
        </w:rPr>
      </w:pPr>
      <w:bookmarkStart w:id="1" w:name="_Toc503861718"/>
      <w:r>
        <w:rPr>
          <w:rFonts w:eastAsia="Calibri" w:asciiTheme="minorHAnsi" w:hAnsiTheme="minorHAnsi" w:cstheme="minorHAnsi"/>
        </w:rPr>
        <w:t>SDL – Strategie de Dezvoltare Locala.</w:t>
      </w:r>
    </w:p>
    <w:p>
      <w:pPr>
        <w:spacing w:line="276" w:lineRule="auto"/>
        <w:rPr>
          <w:rFonts w:eastAsia="Calibri" w:asciiTheme="minorHAnsi" w:hAnsiTheme="minorHAnsi" w:cstheme="minorHAnsi"/>
        </w:rPr>
        <w:sectPr>
          <w:pgSz w:w="12240" w:h="15840"/>
          <w:pgMar w:top="1720" w:right="940" w:bottom="280" w:left="1300" w:header="427" w:footer="861" w:gutter="0"/>
          <w:cols w:space="720" w:num="1"/>
        </w:sectPr>
      </w:pPr>
    </w:p>
    <w:p>
      <w:pPr>
        <w:pStyle w:val="2"/>
      </w:pPr>
      <w:r>
        <w:t>2. PREVEDERI GENERALE</w:t>
      </w:r>
      <w:bookmarkEnd w:id="1"/>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Pentrutoateproiecteledepuse la nivelul GAL PlatoulMehedinti, evaluatorii, stabiliți cu respectarea prevederilor SDL, vor verifica conformitatea și eligibilitatea proiectelor și vor acorda punctajele aferente fiecărei cereri de finanțare. Toate verificările se realizează prin evaluări documentate, în baza unor fișe de verificare elaborate la nivelul GAL, datate și semnate de experții evaluatori.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Scopul Procedurii de evaluare şi selecţie a proiectelor este de a furniza personalului GAL cu atribuții specifice  în  gestionarea  proiectelor,  mijloacele  necesare  pentru  implementarea   eficientă  a Strategiei de Dezvoltare Locală.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cadrul Procedurii se descrie procedura de lucru a GAL Platoul Mehedinti privind repartizarea atribuţiilor şi responsabilităţilor între persoanele şi organismele implicate, formularele și documentele utilizate, precum şi termenele care trebuiesc respectate.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De asemenea, prin Procedura de   evaluare şi selecţie se stabileşte o metodologie unitară de selectare a cererilor de finanţare depuse la GAL, fluxul de documente şi formulare utilizate în procesul  de  verificare  şi  selectare  a  proiectelor.  Procedura urmăreşte  modul  de  realizare  a activităţii de selectare a cererilor de finanţare de la depunerea acestora de către solicitant la GAL până la selectarea acestora în vederea propunerii spre contractare la AFIR.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Procedura de evaluare şi selectie prezintă atribuţiile personalului GAL implicat în efectuarea activităţilor de evaluare-selectare a proiectelor precum   şi cele ale Comitetului de Selecţie a Proiectelor şi Comisiei de Contestaţii.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cadrul procedurii, GAL Platoul Mehedinti desfăşoară activităţi specifice pentru  verificarea conformităţii administrative, eligibilităţii si criteriilor de selectie a cererilor de finanţare.</w:t>
      </w:r>
    </w:p>
    <w:p>
      <w:pPr>
        <w:spacing w:line="276" w:lineRule="auto"/>
        <w:jc w:val="both"/>
        <w:rPr>
          <w:rFonts w:eastAsia="Calibri" w:asciiTheme="minorHAnsi" w:hAnsiTheme="minorHAnsi"/>
        </w:rPr>
      </w:pPr>
      <w:r>
        <w:rPr>
          <w:rFonts w:eastAsia="Calibri" w:asciiTheme="minorHAnsi" w:hAnsiTheme="minorHAnsi"/>
        </w:rPr>
        <w:t xml:space="preserve">Formularele specifice  măsurilor  finanţate  de  GAL Platoul Mehedinti se  găsesc  pe site-ul  GAL Platoul Mehedinti. </w:t>
      </w:r>
      <w:r>
        <w:fldChar w:fldCharType="begin"/>
      </w:r>
      <w:r>
        <w:instrText xml:space="preserve"> HYPERLINK "http://galplatoulmehedinti.ro/" </w:instrText>
      </w:r>
      <w:r>
        <w:fldChar w:fldCharType="separate"/>
      </w:r>
      <w:r>
        <w:rPr>
          <w:rStyle w:val="19"/>
          <w:rFonts w:eastAsia="Calibri" w:asciiTheme="minorHAnsi" w:hAnsiTheme="minorHAnsi"/>
        </w:rPr>
        <w:t>(www.galplatoulmehedinti.ro)</w:t>
      </w:r>
      <w:r>
        <w:rPr>
          <w:rStyle w:val="19"/>
          <w:rFonts w:eastAsia="Calibri" w:asciiTheme="minorHAnsi" w:hAnsiTheme="minorHAnsi"/>
        </w:rPr>
        <w:fldChar w:fldCharType="end"/>
      </w:r>
      <w:r>
        <w:rPr>
          <w:rFonts w:eastAsia="Calibri" w:asciiTheme="minorHAnsi" w:hAnsiTheme="minorHAnsi"/>
        </w:rPr>
        <w:t xml:space="preserve">.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bookmarkStart w:id="2" w:name="_Toc503861719"/>
      <w:r>
        <w:rPr>
          <w:rFonts w:eastAsia="Calibri" w:asciiTheme="minorHAnsi" w:hAnsiTheme="minorHAnsi"/>
        </w:rPr>
        <w:t>Prezenta procedura de evaluare si selectie este un document aplicabil tuturor masurilor din cadrul Strategiei de Dezvoltare Locala a GAL Platoul Mehedinti, urmand a fi prezentat ca si anexa la fiecare dintre Ghidurile Solicitantului aferent masurilor din cadrul SDL.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NOTĂ! Toată corespondenţa purtată cu beneficiarii se întocmeşte în două exemplare originale,</w:t>
      </w:r>
    </w:p>
    <w:p>
      <w:pPr>
        <w:spacing w:line="276" w:lineRule="auto"/>
        <w:jc w:val="both"/>
        <w:rPr>
          <w:rFonts w:eastAsia="Calibri" w:asciiTheme="minorHAnsi" w:hAnsiTheme="minorHAnsi"/>
        </w:rPr>
      </w:pPr>
      <w:r>
        <w:rPr>
          <w:rFonts w:eastAsia="Calibri" w:asciiTheme="minorHAnsi" w:hAnsiTheme="minorHAnsi"/>
        </w:rPr>
        <w:t>care vor fi ştampilate şi semnate şi vor avea acelaşi număr de înregistrare.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IMPORTANT! Pe durata procesului de evaluare, solicitanții, personalul GAL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pPr>
        <w:spacing w:line="276" w:lineRule="auto"/>
        <w:jc w:val="both"/>
        <w:rPr>
          <w:rFonts w:eastAsia="Calibri" w:asciiTheme="minorHAnsi" w:hAnsiTheme="minorHAnsi"/>
        </w:rPr>
      </w:pPr>
    </w:p>
    <w:p>
      <w:pPr>
        <w:spacing w:line="276" w:lineRule="auto"/>
        <w:jc w:val="both"/>
        <w:rPr>
          <w:rFonts w:eastAsia="Calibri" w:asciiTheme="minorHAnsi" w:hAnsiTheme="minorHAnsi"/>
          <w:lang w:val="ro-RO"/>
        </w:rPr>
      </w:pPr>
      <w:r>
        <w:rPr>
          <w:rFonts w:eastAsia="Calibri" w:asciiTheme="minorHAnsi" w:hAnsiTheme="minorHAnsi"/>
          <w:lang w:val="ro-RO"/>
        </w:rPr>
        <w:t xml:space="preserve">În cazul în care se impune modificarea unor condiții de accesare pe perioada de derulare a unei sesiuni de depunere GAL poate emite o Erată aprobată de organele de decizie conform prevederilor statutare. </w:t>
      </w:r>
    </w:p>
    <w:p>
      <w:pPr>
        <w:spacing w:line="276" w:lineRule="auto"/>
        <w:jc w:val="both"/>
        <w:rPr>
          <w:rFonts w:eastAsia="Calibri" w:asciiTheme="minorHAnsi" w:hAnsiTheme="minorHAnsi"/>
          <w:lang w:val="ro-RO"/>
        </w:rPr>
      </w:pPr>
      <w:r>
        <w:rPr>
          <w:rFonts w:eastAsia="Calibri" w:asciiTheme="minorHAnsi" w:hAnsiTheme="minorHAnsi"/>
          <w:lang w:val="ro-RO"/>
        </w:rPr>
        <w:t>Erata trebuie să vizeze doar modificări care nu contravin prevederilor aplicabile (Fișa măsurii din SDL, GS 19.2, Manual procedură 19.2, Cap. 8.1 din PNDR, HG 226 și legislația specifică).</w:t>
      </w:r>
    </w:p>
    <w:p>
      <w:pPr>
        <w:spacing w:line="276" w:lineRule="auto"/>
        <w:jc w:val="both"/>
        <w:rPr>
          <w:rFonts w:eastAsia="Calibri" w:asciiTheme="minorHAnsi" w:hAnsiTheme="minorHAnsi"/>
          <w:lang w:val="ro-RO"/>
        </w:rPr>
      </w:pPr>
    </w:p>
    <w:p>
      <w:pPr>
        <w:spacing w:line="276" w:lineRule="auto"/>
        <w:jc w:val="both"/>
        <w:rPr>
          <w:rFonts w:eastAsia="Calibri" w:asciiTheme="minorHAnsi" w:hAnsiTheme="minorHAnsi"/>
          <w:lang w:val="ro-RO"/>
        </w:rPr>
      </w:pPr>
      <w:r>
        <w:rPr>
          <w:rFonts w:eastAsia="Calibri" w:asciiTheme="minorHAnsi" w:hAnsiTheme="minorHAnsi"/>
          <w:lang w:val="ro-RO"/>
        </w:rPr>
        <w:t xml:space="preserve">Erata aprobată de organele de decizie ale GAL trebuie înaintată de GAL către CDRJ însoțită de un Memoriu justificativ privind modificările propuse, în vederea avizării. </w:t>
      </w:r>
    </w:p>
    <w:p>
      <w:pPr>
        <w:spacing w:line="276" w:lineRule="auto"/>
        <w:jc w:val="both"/>
        <w:rPr>
          <w:rFonts w:eastAsia="Calibri" w:asciiTheme="minorHAnsi" w:hAnsiTheme="minorHAnsi"/>
          <w:lang w:val="ro-RO"/>
        </w:rPr>
      </w:pPr>
    </w:p>
    <w:p>
      <w:pPr>
        <w:spacing w:line="276" w:lineRule="auto"/>
        <w:jc w:val="both"/>
        <w:rPr>
          <w:rFonts w:asciiTheme="minorHAnsi" w:hAnsiTheme="minorHAnsi"/>
        </w:rPr>
      </w:pPr>
      <w:r>
        <w:rPr>
          <w:rFonts w:eastAsia="Calibri" w:asciiTheme="minorHAnsi" w:hAnsiTheme="minorHAnsi"/>
          <w:lang w:val="ro-RO"/>
        </w:rPr>
        <w:t>După postarea Eratei pe site-ul GAL, perioada aferentă sesiunii de depunere va fi prelungită cu cel puțin 10 zile calendaristice pentru a permite solicitanților depunerea proiectelor în conformitate cu  cerințele apelului de selecție adaptate noilor prevederi</w:t>
      </w:r>
    </w:p>
    <w:p>
      <w:pPr>
        <w:pStyle w:val="2"/>
      </w:pPr>
      <w:r>
        <w:t>3.PREZENTAREA ORGANELOR DE EVALUARE ŞI SELECŢIE LA NIVEL DEGAL</w:t>
      </w:r>
      <w:bookmarkEnd w:id="2"/>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lang w:val="en-GB" w:eastAsia="en-GB"/>
        </w:rPr>
        <w:drawing>
          <wp:inline distT="0" distB="0" distL="0" distR="0">
            <wp:extent cx="6033135" cy="3266440"/>
            <wp:effectExtent l="19050" t="0" r="2476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pPr>
        <w:spacing w:line="276" w:lineRule="auto"/>
        <w:jc w:val="both"/>
        <w:rPr>
          <w:rFonts w:eastAsia="Calibri" w:asciiTheme="minorHAnsi" w:hAnsiTheme="minorHAnsi"/>
          <w:b/>
        </w:rPr>
      </w:pPr>
      <w:r>
        <w:rPr>
          <w:rFonts w:eastAsia="Calibri" w:asciiTheme="minorHAnsi" w:hAnsiTheme="minorHAnsi"/>
          <w:b/>
        </w:rPr>
        <w:t>Compartimentul Administrativ</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Evaluarea proiectelor la nivel de GAL, respectiv verificarea conformităţii, eligibilităţii şi a criteriilor de selecţie va fi realizată la nivelul Compartimentului Administrativ.</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Expertii evaluatori vor verifica conformitatea proiectului şi respectarea criteriilor de eligibilitate şi, ulterior, pentru proiectele conforme şi eligibile, acestia vor completa fişa de verificare a criteriilor de selecţie.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Compartimentul  administrativ  al  GAL  va  asigura,  de  asemenea,  suportul  necesar beneficiarilor pentru  completarea  Cererilor  de  Finanţare  privind  aspectele  de  conformitate  pe  care  aceştia trebuie să le îndeplinească.</w:t>
      </w:r>
    </w:p>
    <w:p>
      <w:pPr>
        <w:spacing w:line="276" w:lineRule="auto"/>
        <w:jc w:val="both"/>
        <w:rPr>
          <w:rFonts w:asciiTheme="minorHAnsi" w:hAnsiTheme="minorHAnsi"/>
        </w:rPr>
      </w:pPr>
    </w:p>
    <w:p>
      <w:pPr>
        <w:spacing w:line="276" w:lineRule="auto"/>
        <w:jc w:val="both"/>
        <w:rPr>
          <w:rFonts w:asciiTheme="minorHAnsi" w:hAnsiTheme="minorHAnsi"/>
          <w:b/>
        </w:rPr>
      </w:pPr>
    </w:p>
    <w:p>
      <w:pPr>
        <w:spacing w:line="276" w:lineRule="auto"/>
        <w:jc w:val="both"/>
        <w:rPr>
          <w:rFonts w:eastAsia="Calibri" w:asciiTheme="minorHAnsi" w:hAnsiTheme="minorHAnsi"/>
          <w:b/>
        </w:rPr>
      </w:pPr>
      <w:r>
        <w:rPr>
          <w:rFonts w:eastAsia="Calibri" w:asciiTheme="minorHAnsi" w:hAnsiTheme="minorHAnsi"/>
          <w:b/>
        </w:rPr>
        <w:t>Comitetul de Selecţie a proiectelor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Comitetul de Selecţie a proiectelor (CSP) reprezintă organismul tehnic cu rol decizional cu responsabilităţi privind selectarea pentru finanţare a proiectelor depuse în cadrul GAL.</w:t>
      </w:r>
    </w:p>
    <w:p>
      <w:pPr>
        <w:spacing w:line="276" w:lineRule="auto"/>
        <w:jc w:val="both"/>
        <w:rPr>
          <w:rFonts w:asciiTheme="minorHAnsi" w:hAnsiTheme="minorHAnsi"/>
        </w:rPr>
      </w:pPr>
    </w:p>
    <w:p>
      <w:pPr>
        <w:spacing w:line="276" w:lineRule="auto"/>
        <w:jc w:val="both"/>
        <w:rPr>
          <w:rFonts w:asciiTheme="minorHAnsi" w:hAnsiTheme="minorHAnsi"/>
        </w:rPr>
      </w:pPr>
      <w:r>
        <w:rPr>
          <w:rFonts w:eastAsia="Calibri" w:asciiTheme="minorHAnsi" w:hAnsiTheme="minorHAnsi"/>
        </w:rPr>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Comitetul de Selecţie a proiectelor are sarcina de a aproba Raportul de Selecţie pentru fiecare sesiune de proiecte lansată de catre GAL în cadrul strategiei de dezvoltare locala.</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Comitetul de Selecţie va fi format din minim 7 membri GAL, ȋnsă nici autorităţile publice şi niciun singur grup de interese nu va deţine mai mult de 49% din drepturile de vot. Din componenţa acestuia vor face parte, prin urmare, parteneri publici, minim 51% parteneri privaţi şi societatea civilă (inclusiv persoane fizice relevante) şi maxim 5% persoane fizice din total parteneri. Entităţile provenite din mediul urban vor reprezenta maxim 25%.</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fiecare membru al Comitetul de Selecţie este stabilit un membru supleant. În situaţia în care persoana desemnată în Comitetul de Selecţie nu poate participa, din motive obiective, la lucrările unei sesiuni de selecţie, înlocuirea acesteia se face prin convocarea supleantului care va prelua atribuţiile titularului.</w:t>
      </w:r>
    </w:p>
    <w:p>
      <w:pPr>
        <w:spacing w:line="276" w:lineRule="auto"/>
        <w:jc w:val="both"/>
        <w:rPr>
          <w:rFonts w:asciiTheme="minorHAnsi" w:hAnsiTheme="minorHAnsi"/>
        </w:rPr>
      </w:pPr>
    </w:p>
    <w:p>
      <w:pPr>
        <w:pStyle w:val="46"/>
        <w:spacing w:before="235" w:line="360" w:lineRule="auto"/>
        <w:rPr>
          <w:rFonts w:eastAsia="Calibri" w:asciiTheme="minorHAnsi" w:hAnsiTheme="minorHAnsi"/>
        </w:rPr>
      </w:pPr>
      <w:r>
        <w:rPr>
          <w:rFonts w:eastAsia="Calibri" w:asciiTheme="minorHAnsi" w:hAnsiTheme="minorHAnsi"/>
        </w:rPr>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Pentru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Atenție! Este posibilă combinarea mijloacelor de întrunire a Comitetului de selecție, în funcție de modalitatea de participare a membrilor Comitetului de selecție.</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Comitetului  deSelecţie  a proiectelor din cadrul GAL  PlatoulMehedinti  are structurastabilităinStrategia  de </w:t>
      </w:r>
      <w:r>
        <w:rPr>
          <w:rFonts w:asciiTheme="minorHAnsi" w:hAnsiTheme="minorHAnsi"/>
        </w:rPr>
        <w:pict>
          <v:group id="Group 29" o:spid="_x0000_s1043" o:spt="203" style="position:absolute;left:0pt;margin-left:70.55pt;margin-top:728.6pt;height:0pt;width:488.95pt;mso-position-horizontal-relative:page;mso-position-vertical-relative:page;z-index:-251654144;mso-width-relative:page;mso-height-relative:page;" coordorigin="1412,14573" coordsize="97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">
            <o:lock v:ext="edit"/>
            <v:shape id="Freeform 30" o:spid="_x0000_s1044" style="position:absolute;left:2824;top:29146;height:0;width:9779;" filled="f" stroked="t" coordsize="9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" path="m0,0l9779,0e">
              <v:path arrowok="t" o:connecttype="custom" o:connectlocs="0,0;9779,0" o:connectangles="0,0"/>
              <v:fill on="f" focussize="0,0"/>
              <v:stroke weight="0.57992125984252pt" color="#D9D9D9"/>
              <v:imagedata o:title=""/>
              <o:lock v:ext="edit"/>
            </v:shape>
          </v:group>
        </w:pict>
      </w:r>
      <w:r>
        <w:rPr>
          <w:rFonts w:eastAsia="Calibri" w:asciiTheme="minorHAnsi" w:hAnsiTheme="minorHAnsi"/>
        </w:rPr>
        <w:t>DezvoltareLocalăaprobata de MADR.</w:t>
      </w:r>
    </w:p>
    <w:p>
      <w:pPr>
        <w:spacing w:line="276" w:lineRule="auto"/>
        <w:jc w:val="both"/>
        <w:rPr>
          <w:rFonts w:eastAsia="Calibri" w:asciiTheme="minorHAnsi" w:hAnsiTheme="minorHAnsi"/>
          <w:lang w:val="ro-RO"/>
        </w:rPr>
      </w:pPr>
      <w:r>
        <w:rPr>
          <w:rFonts w:eastAsia="Calibri" w:asciiTheme="minorHAnsi" w:hAnsiTheme="minorHAnsi"/>
          <w:lang w:val="ro-RO"/>
        </w:rPr>
        <w:t>Tabel cu componenta Comitetului de Selectie/ Supleanti:</w:t>
      </w:r>
    </w:p>
    <w:p>
      <w:pPr>
        <w:spacing w:line="276" w:lineRule="auto"/>
        <w:jc w:val="both"/>
        <w:rPr>
          <w:rFonts w:eastAsia="Calibri" w:asciiTheme="minorHAnsi" w:hAnsiTheme="minorHAnsi"/>
          <w:lang w:val="ro-RO"/>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98"/>
        <w:gridCol w:w="153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3" w:type="dxa"/>
            <w:gridSpan w:val="3"/>
          </w:tcPr>
          <w:p>
            <w:pPr>
              <w:jc w:val="both"/>
              <w:rPr>
                <w:rFonts w:ascii="Trebuchet MS" w:hAnsi="Trebuchet MS"/>
                <w:b/>
              </w:rPr>
            </w:pPr>
            <w:r>
              <w:rPr>
                <w:rFonts w:ascii="Trebuchet MS" w:hAnsi="Trebuchet MS"/>
                <w:b/>
              </w:rPr>
              <w:t>PARTENERI PUBLICI 28,57%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jc w:val="both"/>
              <w:rPr>
                <w:rFonts w:ascii="Trebuchet MS" w:hAnsi="Trebuchet MS"/>
                <w:b/>
              </w:rPr>
            </w:pPr>
            <w:r>
              <w:rPr>
                <w:rFonts w:ascii="Trebuchet MS" w:hAnsi="Trebuchet MS"/>
                <w:b/>
              </w:rPr>
              <w:t>Partener</w:t>
            </w:r>
          </w:p>
        </w:tc>
        <w:tc>
          <w:tcPr>
            <w:tcW w:w="1527" w:type="dxa"/>
          </w:tcPr>
          <w:p>
            <w:pPr>
              <w:jc w:val="both"/>
              <w:rPr>
                <w:rFonts w:ascii="Trebuchet MS" w:hAnsi="Trebuchet MS"/>
                <w:b/>
              </w:rPr>
            </w:pPr>
            <w:r>
              <w:rPr>
                <w:rFonts w:ascii="Trebuchet MS" w:hAnsi="Trebuchet MS"/>
                <w:b/>
              </w:rPr>
              <w:t>Functia in CS</w:t>
            </w:r>
          </w:p>
        </w:tc>
        <w:tc>
          <w:tcPr>
            <w:tcW w:w="0" w:type="auto"/>
          </w:tcPr>
          <w:p>
            <w:pPr>
              <w:jc w:val="both"/>
              <w:rPr>
                <w:rFonts w:ascii="Trebuchet MS" w:hAnsi="Trebuchet MS"/>
                <w:b/>
              </w:rPr>
            </w:pPr>
            <w:r>
              <w:rPr>
                <w:rFonts w:ascii="Trebuchet MS" w:hAnsi="Trebuchet MS"/>
                <w:b/>
              </w:rPr>
              <w:t>Tip/ Observatii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Trebuchet MS" w:hAnsi="Trebuchet MS"/>
              </w:rPr>
              <w:t>ComunaIsverna/ComunaCiresu</w:t>
            </w:r>
          </w:p>
        </w:tc>
        <w:tc>
          <w:tcPr>
            <w:tcW w:w="1527" w:type="dxa"/>
          </w:tcPr>
          <w:p>
            <w:pPr>
              <w:rPr>
                <w:rFonts w:ascii="Trebuchet MS" w:hAnsi="Trebuchet MS"/>
              </w:rPr>
            </w:pPr>
            <w:r>
              <w:rPr>
                <w:rFonts w:ascii="Trebuchet MS" w:hAnsi="Trebuchet MS"/>
              </w:rPr>
              <w:t>Presedinte</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Trebuchet MS" w:hAnsi="Trebuchet MS"/>
              </w:rPr>
              <w:t>ComunaBreznita-Ocol/ComunaPodeni</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3" w:type="dxa"/>
            <w:gridSpan w:val="3"/>
          </w:tcPr>
          <w:p>
            <w:pPr>
              <w:rPr>
                <w:rFonts w:ascii="Trebuchet MS" w:hAnsi="Trebuchet MS"/>
                <w:b/>
              </w:rPr>
            </w:pPr>
            <w:r>
              <w:rPr>
                <w:rFonts w:ascii="Trebuchet MS" w:hAnsi="Trebuchet MS"/>
                <w:b/>
              </w:rPr>
              <w:t>PARTENERI PRIVATI 71,43%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b/>
              </w:rPr>
            </w:pPr>
            <w:r>
              <w:rPr>
                <w:rFonts w:ascii="Trebuchet MS" w:hAnsi="Trebuchet MS"/>
                <w:b/>
              </w:rPr>
              <w:t>Partener</w:t>
            </w:r>
          </w:p>
        </w:tc>
        <w:tc>
          <w:tcPr>
            <w:tcW w:w="1527" w:type="dxa"/>
          </w:tcPr>
          <w:p>
            <w:pPr>
              <w:rPr>
                <w:rFonts w:ascii="Trebuchet MS" w:hAnsi="Trebuchet MS"/>
                <w:b/>
              </w:rPr>
            </w:pPr>
            <w:r>
              <w:rPr>
                <w:rFonts w:ascii="Trebuchet MS" w:hAnsi="Trebuchet MS"/>
                <w:b/>
              </w:rPr>
              <w:t>Functia in CS</w:t>
            </w:r>
          </w:p>
        </w:tc>
        <w:tc>
          <w:tcPr>
            <w:tcW w:w="0" w:type="auto"/>
          </w:tcPr>
          <w:p>
            <w:pPr>
              <w:jc w:val="both"/>
              <w:rPr>
                <w:rFonts w:ascii="Trebuchet MS" w:hAnsi="Trebuchet MS"/>
                <w:b/>
              </w:rPr>
            </w:pPr>
            <w:r>
              <w:rPr>
                <w:rFonts w:ascii="Trebuchet MS" w:hAnsi="Trebuchet MS"/>
                <w:b/>
              </w:rPr>
              <w:t>Tip/ Observatii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Calibri" w:hAnsi="Calibri"/>
                <w:color w:val="000000"/>
              </w:rPr>
              <w:t>Cruceru D. Cristian-Alin PFA/BirovescuCtin. Anica PFA</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tabs>
                <w:tab w:val="right" w:pos="3574"/>
              </w:tabs>
              <w:rPr>
                <w:rFonts w:ascii="Calibri" w:hAnsi="Calibri"/>
                <w:color w:val="000000"/>
              </w:rPr>
            </w:pPr>
            <w:r>
              <w:rPr>
                <w:rFonts w:ascii="Calibri" w:hAnsi="Calibri"/>
                <w:color w:val="000000"/>
              </w:rPr>
              <w:t>Bobîrsc M. Claudiu-Lucian I.I./</w:t>
            </w:r>
          </w:p>
          <w:p>
            <w:pPr>
              <w:tabs>
                <w:tab w:val="right" w:pos="3574"/>
              </w:tabs>
              <w:rPr>
                <w:rFonts w:ascii="Trebuchet MS" w:hAnsi="Trebuchet MS"/>
              </w:rPr>
            </w:pPr>
            <w:r>
              <w:rPr>
                <w:rFonts w:ascii="Calibri" w:hAnsi="Calibri"/>
                <w:color w:val="000000"/>
              </w:rPr>
              <w:t>Zanfiroiu S. Doru PFA</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Trebuchet MS" w:hAnsi="Trebuchet MS"/>
              </w:rPr>
              <w:t>Serafin Ion PFA/</w:t>
            </w:r>
            <w:r>
              <w:rPr>
                <w:rFonts w:ascii="Calibri" w:hAnsi="Calibri"/>
                <w:color w:val="000000"/>
              </w:rPr>
              <w:t>RăescuGhe. Constantin PFA</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tabs>
                <w:tab w:val="left" w:pos="2600"/>
              </w:tabs>
              <w:rPr>
                <w:rFonts w:ascii="Trebuchet MS" w:hAnsi="Trebuchet MS"/>
              </w:rPr>
            </w:pPr>
            <w:r>
              <w:rPr>
                <w:rFonts w:ascii="Calibri" w:hAnsi="Calibri"/>
                <w:color w:val="000000"/>
              </w:rPr>
              <w:t>MurdealăGeorgeta I.I/  Gherghinescu V. Lucian I.I</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Calibri" w:hAnsi="Calibri"/>
                <w:color w:val="000000"/>
              </w:rPr>
              <w:t>Davis Montana SRL/ Davis-ind SRL</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bl>
    <w:p>
      <w:pPr>
        <w:spacing w:line="276" w:lineRule="auto"/>
        <w:jc w:val="both"/>
        <w:rPr>
          <w:rFonts w:eastAsia="Calibri" w:asciiTheme="minorHAnsi" w:hAnsiTheme="minorHAnsi"/>
          <w:lang w:val="ro-RO"/>
        </w:rPr>
      </w:pPr>
    </w:p>
    <w:p>
      <w:pPr>
        <w:spacing w:line="276" w:lineRule="auto"/>
        <w:jc w:val="both"/>
        <w:rPr>
          <w:rFonts w:eastAsia="Calibri" w:asciiTheme="minorHAnsi" w:hAnsiTheme="minorHAnsi"/>
          <w:lang w:val="ro-RO"/>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Comisia de Soluţionare a Contestaţiilor</w:t>
      </w:r>
    </w:p>
    <w:p>
      <w:pPr>
        <w:spacing w:line="276" w:lineRule="auto"/>
        <w:jc w:val="both"/>
        <w:rPr>
          <w:rFonts w:asciiTheme="minorHAnsi" w:hAnsiTheme="minorHAnsi"/>
        </w:rPr>
      </w:pPr>
    </w:p>
    <w:p>
      <w:pPr>
        <w:spacing w:line="276" w:lineRule="auto"/>
        <w:jc w:val="both"/>
        <w:rPr>
          <w:rFonts w:eastAsia="Calibri" w:asciiTheme="minorHAnsi" w:hAnsiTheme="minorHAnsi" w:cstheme="minorHAnsi"/>
        </w:rPr>
      </w:pPr>
      <w:r>
        <w:rPr>
          <w:rFonts w:eastAsia="Calibri" w:asciiTheme="minorHAnsi" w:hAnsiTheme="minorHAnsi"/>
        </w:rPr>
        <w:t>Comisia de Soluţionare a Contestaţiilor este numită și aprobată de către Consiliul Director al GAL şi îşi desfaşoară activitatea conform Regulamentului de Organizare şi Funcţionare aprobat. Această Comisie are obligaţia de a</w:t>
      </w:r>
      <w:r>
        <w:rPr>
          <w:rFonts w:eastAsia="Calibri" w:asciiTheme="minorHAnsi" w:hAnsiTheme="minorHAnsi" w:cstheme="minorHAnsi"/>
        </w:rPr>
        <w:t>analiza contestaţiile primite şi va analiza doar proiectele care fac obiectul contestaţiilor.</w:t>
      </w:r>
    </w:p>
    <w:p>
      <w:pPr>
        <w:spacing w:line="276" w:lineRule="auto"/>
        <w:jc w:val="both"/>
        <w:rPr>
          <w:rFonts w:asciiTheme="minorHAnsi" w:hAnsiTheme="minorHAnsi" w:cstheme="minorHAnsi"/>
        </w:rPr>
      </w:pPr>
    </w:p>
    <w:p>
      <w:pPr>
        <w:spacing w:line="276" w:lineRule="auto"/>
        <w:jc w:val="both"/>
        <w:rPr>
          <w:rFonts w:asciiTheme="minorHAnsi" w:hAnsiTheme="minorHAnsi" w:cstheme="minorHAnsi"/>
        </w:rPr>
      </w:pPr>
      <w:r>
        <w:rPr>
          <w:rFonts w:eastAsia="Calibri" w:asciiTheme="minorHAnsi" w:hAnsiTheme="minorHAnsi" w:cstheme="minorHAnsi"/>
        </w:rPr>
        <w:t>Comisia de Soluţionare a Contestaţiilor este compusa din membri care sunt diferiţi faţă de cei care compun  Comitetul  de  Selecţie.  Membrii  Comisiei  de  Solutionare  a  Contestațiilor  vor  respecta regulile conflictului de interes, completând aceeași declarație ca și membrii Comitetului de Selecție.</w:t>
      </w:r>
    </w:p>
    <w:p>
      <w:pPr>
        <w:spacing w:line="276" w:lineRule="auto"/>
        <w:jc w:val="both"/>
        <w:rPr>
          <w:rFonts w:asciiTheme="minorHAnsi" w:hAnsiTheme="minorHAnsi" w:cstheme="minorHAnsi"/>
        </w:rPr>
      </w:pPr>
    </w:p>
    <w:p>
      <w:pPr>
        <w:spacing w:line="276" w:lineRule="auto"/>
        <w:jc w:val="both"/>
        <w:rPr>
          <w:rFonts w:eastAsia="Calibri" w:asciiTheme="minorHAnsi" w:hAnsiTheme="minorHAnsi" w:cstheme="minorHAnsi"/>
        </w:rPr>
      </w:pPr>
      <w:r>
        <w:rPr>
          <w:rFonts w:eastAsia="Calibri" w:asciiTheme="minorHAnsi" w:hAnsiTheme="minorHAnsi" w:cstheme="minorHAnsi"/>
        </w:rPr>
        <w:t>Menţiuni cu privire la membrii tuturor organelor de evaluare şi selecţie ale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Fiecarepersoanăimplicatăînprocesul de evaluareșiselecție a proiectelor de la nivelul GAL (evaluatori</w:t>
      </w:r>
      <w:r>
        <w:rPr>
          <w:rFonts w:asciiTheme="minorHAnsi" w:hAnsiTheme="minorHAnsi" w:cstheme="minorHAnsi"/>
          <w:lang w:val="ro-RO" w:eastAsia="ro-RO"/>
        </w:rPr>
        <w:t>-</w:t>
      </w:r>
      <w:r>
        <w:rPr>
          <w:rFonts w:asciiTheme="minorHAnsi" w:hAnsiTheme="minorHAnsi" w:cstheme="minorHAnsi"/>
        </w:rPr>
        <w:t xml:space="preserve"> inclusiv evaluatori externi</w:t>
      </w:r>
      <w:r>
        <w:rPr>
          <w:rFonts w:eastAsia="Calibri" w:asciiTheme="minorHAnsi" w:hAnsiTheme="minorHAnsi"/>
        </w:rPr>
        <w:t xml:space="preserve">, membriiComitetului de SelecțieșimembriiComisiei de soluționare a contestațiilor, </w:t>
      </w:r>
      <w:r>
        <w:rPr>
          <w:rFonts w:asciiTheme="minorHAnsi" w:hAnsiTheme="minorHAnsi" w:cstheme="minorHAnsi"/>
        </w:rPr>
        <w:t>Președintele GAL/ Reprezentantul legal al GAL sau un alt membru al Consiliului Director al GAL mandatat să avizeze raportul</w:t>
      </w:r>
      <w:r>
        <w:rPr>
          <w:rFonts w:eastAsia="Calibri" w:asciiTheme="minorHAnsi" w:hAnsiTheme="minorHAnsi"/>
        </w:rPr>
        <w:t>) are obligația de a respectaprevederile OUG nr. 66/2011, cu modificărileșicompletărileulterioarereferitoare la evitareaconflictului de intereseșiprevederile Cap. XII al SDL – “Descriereamecanismelor de evitare a posibilelorconflicte de interese conform legislațieinaționale”.</w:t>
      </w:r>
    </w:p>
    <w:p>
      <w:pPr>
        <w:spacing w:line="276" w:lineRule="auto"/>
        <w:jc w:val="both"/>
        <w:rPr>
          <w:rFonts w:asciiTheme="minorHAnsi" w:hAnsiTheme="minorHAnsi"/>
        </w:rPr>
      </w:pPr>
    </w:p>
    <w:p>
      <w:pPr>
        <w:spacing w:line="276" w:lineRule="auto"/>
        <w:jc w:val="both"/>
        <w:rPr>
          <w:rFonts w:eastAsia="Calibri" w:asciiTheme="minorHAnsi" w:hAnsiTheme="minorHAnsi" w:cstheme="minorHAnsi"/>
        </w:rPr>
      </w:pPr>
      <w:r>
        <w:rPr>
          <w:rFonts w:eastAsia="Calibri" w:asciiTheme="minorHAnsi" w:hAnsiTheme="minorHAnsi" w:cstheme="minorHAnsi"/>
        </w:rPr>
        <w:t>Conform legislației comunitare și naționale în vigoare, conflictul de interes poate fi definit ca acea situație sau împrejurare în care interesul personal, direct ori indirect al responsabilului contravine interesului public, astfel încât afectează sau ar putea afecta independența și imparțialitatea sa în luarea deciziilor ori îndeplinirea la timp și cu obiectivitate a îndatoririlor care îi revin în exercitarea funcției deținute.</w:t>
      </w:r>
    </w:p>
    <w:p>
      <w:pPr>
        <w:spacing w:line="276" w:lineRule="auto"/>
        <w:jc w:val="both"/>
        <w:rPr>
          <w:rFonts w:asciiTheme="minorHAnsi" w:hAnsiTheme="minorHAnsi" w:cstheme="minorHAnsi"/>
        </w:rPr>
      </w:pPr>
    </w:p>
    <w:p>
      <w:pPr>
        <w:spacing w:line="276" w:lineRule="auto"/>
        <w:jc w:val="both"/>
        <w:rPr>
          <w:rFonts w:eastAsia="Calibri" w:asciiTheme="minorHAnsi" w:hAnsiTheme="minorHAnsi" w:cstheme="minorHAnsi"/>
        </w:rPr>
      </w:pPr>
      <w:r>
        <w:rPr>
          <w:rFonts w:eastAsia="Calibri" w:asciiTheme="minorHAnsi" w:hAnsiTheme="minorHAnsi" w:cstheme="minorHAnsi"/>
        </w:rPr>
        <w:t>Daca proiectul depus pentru selectare aparţine unuia din membrii Comitetului de Selecţie, Comisiei de contestaţii sau unuia dintre angajaţii GAL implicaţi în evaluarea proiectelor sau afini ai acestora sau unei entităţi juridice în care această persoană are implicaţii/interese, în conformitate cu prevederile legale naţionale (OUG   66/2011) şi comunitare (Regulamentul CE 1605/2002, Regulamentul 2342/2002 etc.) aplicabile, persoana în cauză nu va participa la procesul de verificare şi nu va avea drept de vot, neavând dreptul de a  participa la întalnirea comitetului respectiv pentru sesiunea de selecţie/contestaţie în cauză.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Înacestsens, </w:t>
      </w:r>
      <w:r>
        <w:rPr>
          <w:rFonts w:asciiTheme="minorHAnsi" w:hAnsiTheme="minorHAnsi" w:cstheme="minorHAnsi"/>
        </w:rPr>
        <w:t xml:space="preserve">după depunerea proiectelor de către solicitanți și </w:t>
      </w:r>
      <w:r>
        <w:rPr>
          <w:rFonts w:eastAsia="Calibri" w:asciiTheme="minorHAnsi" w:hAnsiTheme="minorHAnsi"/>
        </w:rPr>
        <w:t>premergătorprocesului de evaluareșiselecție, persoanele de la nivelul GAL implicate  înacestproces</w:t>
      </w:r>
      <w:r>
        <w:rPr>
          <w:rFonts w:ascii="Calibri" w:hAnsi="Calibri"/>
        </w:rPr>
        <w:t xml:space="preserve">(inclusive experțiicooptați, încazulexternalizăriiserviciilor de evaluare) </w:t>
      </w:r>
      <w:r>
        <w:rPr>
          <w:rFonts w:eastAsia="Calibri" w:asciiTheme="minorHAnsi" w:hAnsiTheme="minorHAnsi"/>
        </w:rPr>
        <w:t>vorcompleta  o  declarație  pe  proprierăspundereprivindevitareaconflictului  de  interese,  în  care trebuiemenționatecelpuținurmătoareleaspecte:</w:t>
      </w:r>
    </w:p>
    <w:p>
      <w:pPr>
        <w:pStyle w:val="43"/>
        <w:numPr>
          <w:ilvl w:val="0"/>
          <w:numId w:val="3"/>
        </w:numPr>
        <w:spacing w:line="276" w:lineRule="auto"/>
        <w:jc w:val="both"/>
        <w:rPr>
          <w:rFonts w:eastAsia="Calibri"/>
          <w:sz w:val="24"/>
          <w:szCs w:val="24"/>
        </w:rPr>
      </w:pPr>
      <w:r>
        <w:rPr>
          <w:rFonts w:eastAsia="Calibri"/>
          <w:sz w:val="24"/>
          <w:szCs w:val="24"/>
        </w:rPr>
        <w:t>Numeleșiprenumeledeclarantului;</w:t>
      </w:r>
    </w:p>
    <w:p>
      <w:pPr>
        <w:pStyle w:val="43"/>
        <w:numPr>
          <w:ilvl w:val="0"/>
          <w:numId w:val="3"/>
        </w:numPr>
        <w:spacing w:line="276" w:lineRule="auto"/>
        <w:jc w:val="both"/>
        <w:rPr>
          <w:rFonts w:eastAsia="Calibri"/>
          <w:sz w:val="24"/>
          <w:szCs w:val="24"/>
        </w:rPr>
      </w:pPr>
      <w:r>
        <w:rPr>
          <w:rFonts w:eastAsia="Calibri"/>
          <w:sz w:val="24"/>
          <w:szCs w:val="24"/>
        </w:rPr>
        <w:t>Funcțiadeținută la nivel GAL (nu se aplicăîncazulexternalizării);</w:t>
      </w:r>
    </w:p>
    <w:p>
      <w:pPr>
        <w:pStyle w:val="43"/>
        <w:numPr>
          <w:ilvl w:val="0"/>
          <w:numId w:val="3"/>
        </w:numPr>
        <w:spacing w:line="276" w:lineRule="auto"/>
        <w:jc w:val="both"/>
        <w:rPr>
          <w:rFonts w:eastAsia="Calibri"/>
          <w:sz w:val="24"/>
          <w:szCs w:val="24"/>
        </w:rPr>
      </w:pPr>
      <w:r>
        <w:rPr>
          <w:rFonts w:eastAsia="Calibri"/>
          <w:sz w:val="24"/>
          <w:szCs w:val="24"/>
        </w:rPr>
        <w:t>Rolulîncadrulprocesului de evaluare;</w:t>
      </w:r>
    </w:p>
    <w:p>
      <w:pPr>
        <w:pStyle w:val="43"/>
        <w:numPr>
          <w:ilvl w:val="0"/>
          <w:numId w:val="3"/>
        </w:numPr>
        <w:spacing w:line="276" w:lineRule="auto"/>
        <w:jc w:val="both"/>
        <w:rPr>
          <w:rFonts w:eastAsia="Calibri"/>
          <w:sz w:val="24"/>
          <w:szCs w:val="24"/>
        </w:rPr>
      </w:pPr>
      <w:r>
        <w:rPr>
          <w:rFonts w:eastAsia="Calibri"/>
          <w:sz w:val="24"/>
          <w:szCs w:val="24"/>
        </w:rPr>
        <w:t>Luarea  lacunoștință  a  prevederilorprivindconflictul  de  interesașa  cum  esteacestaprevăzut la art. 10 și 11 din OG 66/2011, Secțiunea II – Reguli înmateriaconflictului de interes;</w:t>
      </w:r>
    </w:p>
    <w:p>
      <w:pPr>
        <w:pStyle w:val="43"/>
        <w:numPr>
          <w:ilvl w:val="0"/>
          <w:numId w:val="3"/>
        </w:numPr>
        <w:spacing w:line="276" w:lineRule="auto"/>
        <w:jc w:val="both"/>
        <w:rPr>
          <w:rFonts w:eastAsia="Calibri"/>
          <w:sz w:val="24"/>
          <w:szCs w:val="24"/>
        </w:rPr>
      </w:pPr>
      <w:r>
        <w:rPr>
          <w:rFonts w:eastAsia="Calibri"/>
          <w:sz w:val="24"/>
          <w:szCs w:val="24"/>
        </w:rPr>
        <w:t>Asumareafaptuluicăînsituatiaîn care se constatacăaceastădeclaraţie nu esteconformă</w:t>
      </w:r>
    </w:p>
    <w:p>
      <w:pPr>
        <w:pStyle w:val="43"/>
        <w:numPr>
          <w:ilvl w:val="0"/>
          <w:numId w:val="3"/>
        </w:numPr>
        <w:spacing w:line="276" w:lineRule="auto"/>
        <w:jc w:val="both"/>
        <w:rPr>
          <w:rFonts w:eastAsia="Calibri"/>
          <w:sz w:val="24"/>
          <w:szCs w:val="24"/>
        </w:rPr>
      </w:pPr>
      <w:r>
        <w:rPr>
          <w:rFonts w:eastAsia="Calibri"/>
          <w:sz w:val="24"/>
          <w:szCs w:val="24"/>
        </w:rPr>
        <w:t>cu realitatea, persoanasemnataraestepasibila de încălcareaprevederilorlegislaţieipenaleprivindfalsulîndeclaraţii.</w:t>
      </w:r>
    </w:p>
    <w:p>
      <w:pPr>
        <w:spacing w:line="276" w:lineRule="auto"/>
        <w:jc w:val="both"/>
        <w:rPr>
          <w:rFonts w:asciiTheme="minorHAnsi" w:hAnsiTheme="minorHAnsi"/>
        </w:rPr>
      </w:pPr>
    </w:p>
    <w:p>
      <w:pPr>
        <w:spacing w:line="276" w:lineRule="auto"/>
        <w:jc w:val="both"/>
        <w:rPr>
          <w:rFonts w:asciiTheme="minorHAnsi" w:hAnsiTheme="minorHAnsi"/>
        </w:rPr>
      </w:pPr>
      <w:r>
        <w:rPr>
          <w:rFonts w:eastAsia="Calibri" w:asciiTheme="minorHAnsi" w:hAnsiTheme="minorHAnsi"/>
        </w:rPr>
        <w:t>Dacă pe parcursulimplementăriistrategiei, încadrulprocesului de evaluareșiselecție la nivelulGAL  aunorproiecte,  apar  situațiigeneratoare  de  conflict  de  interese,  expertul  GAL</w:t>
      </w:r>
      <w:r>
        <w:rPr>
          <w:rFonts w:ascii="Calibri" w:hAnsi="Calibri"/>
        </w:rPr>
        <w:t>/expertulcooptat</w:t>
      </w:r>
      <w:r>
        <w:rPr>
          <w:rFonts w:eastAsia="Calibri" w:asciiTheme="minorHAnsi" w:hAnsiTheme="minorHAnsi"/>
        </w:rPr>
        <w:t>esteobligatsă se abțină de la luareadecizieisauparticiparea la luareauneideciziișisăinformezemanagerul GAL, învedereaînlocuirii cu un alt expert evaluator.</w:t>
      </w:r>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rPr>
        <w:pict>
          <v:group id="Group 27" o:spid="_x0000_s1041" o:spt="203" style="position:absolute;left:0pt;margin-left:70.55pt;margin-top:728.6pt;height:0pt;width:488.95pt;mso-position-horizontal-relative:page;mso-position-vertical-relative:page;z-index:-251653120;mso-width-relative:page;mso-height-relative:page;" coordorigin="1412,14573" coordsize="97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">
            <o:lock v:ext="edit"/>
            <v:shape id="Freeform 28" o:spid="_x0000_s1042" style="position:absolute;left:2824;top:29146;height:0;width:9779;" filled="f" stroked="t" coordsize="9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" path="m0,0l9779,0e">
              <v:path arrowok="t" o:connecttype="custom" o:connectlocs="0,0;9779,0" o:connectangles="0,0"/>
              <v:fill on="f" focussize="0,0"/>
              <v:stroke weight="0.57992125984252pt" color="#D9D9D9"/>
              <v:imagedata o:title=""/>
              <o:lock v:ext="edit"/>
            </v:shape>
          </v:group>
        </w:pict>
      </w:r>
      <w:r>
        <w:rPr>
          <w:rFonts w:eastAsia="Calibri" w:asciiTheme="minorHAnsi" w:hAnsiTheme="minorHAnsi"/>
        </w:rPr>
        <w:t>Dacă, înurmaverificărilorulterioare, se constatăcă nu s-au respectatregulile de evitare a conflictului de interese, așa cum sunt definite înlegislațiaînvigoare, proiectulrespectivva fi declaratneconform, iardacă a fostfinanțat se vaproceda la recuperareasumelor conform legislațieiînvigoare.</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pStyle w:val="2"/>
      </w:pPr>
      <w:bookmarkStart w:id="3" w:name="_Toc503861720"/>
      <w:r>
        <w:t>4. DERULAREA PROCESULUI DE SELECȚIE LA NIVELUL GRUPURILOR DEACȚIUNE LOCALĂ</w:t>
      </w:r>
      <w:bookmarkEnd w:id="3"/>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pict>
          <v:group id="Group 28" o:spid="_x0000_s1039" o:spt="203" style="position:absolute;left:0pt;margin-top:1.25pt;height:34.7pt;width:489.95pt;mso-position-horizontal:left;mso-position-horizontal-relative:margin;z-index:-251645952;mso-width-relative:page;mso-height-relative:page;" coordsize="9779,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">
            <o:lock v:ext="edit"/>
            <v:group id="Group 33" o:spid="_x0000_s1040" o:spt="203" style="position:absolute;left:0;top:0;height:674;width:9779;" coordsize="9779,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o:lock v:ext="edit"/>
              <v:shape id="Freeform 26" o:spid="_x0000_s1028" style="position:absolute;left:0;top:0;height:336;width:9779;" fillcolor="#C5D9F0" filled="t" stroked="f" coordsize="977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" path="m0,336l9779,336,9779,0,0,0,0,336xe">
                <v:path arrowok="t" o:connecttype="custom" o:connectlocs="0,44;9779,44;9779,-292;0,-292;0,44" o:connectangles="0,0,0,0,0"/>
                <v:fill on="t" focussize="0,0"/>
                <v:stroke on="f"/>
                <v:imagedata o:title=""/>
                <o:lock v:ext="edit"/>
              </v:shape>
              <v:group id="Group 35" o:spid="_x0000_s1029" o:spt="203" style="position:absolute;left:0;top:336;height:338;width:9779;" coordorigin="0,336"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o:lock v:ext="edit"/>
                <v:shape id="Freeform 25" o:spid="_x0000_s1030" style="position:absolute;left:0;top:336;height:338;width:9779;" fillcolor="#C5D9F0" filled="t" stroked="f"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" path="m0,338l9779,338,9779,0,0,0,0,338xe">
                  <v:path arrowok="t" o:connecttype="custom" o:connectlocs="0,382;9779,382;9779,44;0,44;0,382" o:connectangles="0,0,0,0,0"/>
                  <v:fill on="t" focussize="0,0"/>
                  <v:stroke on="f"/>
                  <v:imagedata o:title=""/>
                  <o:lock v:ext="edit"/>
                </v:shape>
              </v:group>
            </v:group>
          </v:group>
        </w:pict>
      </w:r>
      <w:r>
        <w:rPr>
          <w:rFonts w:eastAsia="Calibri" w:asciiTheme="minorHAnsi" w:hAnsiTheme="minorHAnsi"/>
          <w:b/>
        </w:rPr>
        <w:t xml:space="preserve"> 4.1 Lansarea sesiunii de primire a cererilor de finanțare de către GAL si depunerea proiectelor la</w:t>
      </w:r>
    </w:p>
    <w:p>
      <w:pPr>
        <w:spacing w:line="276" w:lineRule="auto"/>
        <w:jc w:val="both"/>
        <w:rPr>
          <w:rFonts w:eastAsia="Calibri" w:asciiTheme="minorHAnsi" w:hAnsiTheme="minorHAnsi"/>
          <w:b/>
        </w:rPr>
      </w:pPr>
      <w:r>
        <w:rPr>
          <w:rFonts w:eastAsia="Calibri" w:asciiTheme="minorHAnsi" w:hAnsiTheme="minorHAnsi"/>
          <w:b/>
        </w:rPr>
        <w:t>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Apelurile se adresează solicitanților eligibili, care sunt interesați de elaborarea și implementarea unor proiecte care răspund obiectivelor și priorităților din SDL.</w:t>
      </w:r>
    </w:p>
    <w:p>
      <w:pPr>
        <w:spacing w:line="276" w:lineRule="auto"/>
        <w:jc w:val="both"/>
        <w:rPr>
          <w:rFonts w:asciiTheme="minorHAnsi" w:hAnsiTheme="minorHAnsi"/>
        </w:rPr>
      </w:pPr>
    </w:p>
    <w:p>
      <w:pPr>
        <w:spacing w:line="276" w:lineRule="auto"/>
        <w:jc w:val="both"/>
        <w:rPr>
          <w:rFonts w:eastAsia="Calibri" w:asciiTheme="minorHAnsi" w:hAnsiTheme="minorHAnsi"/>
          <w:lang w:val="ro-RO"/>
        </w:rPr>
      </w:pPr>
      <w:r>
        <w:rPr>
          <w:rFonts w:eastAsia="Calibri" w:asciiTheme="minorHAnsi" w:hAnsiTheme="minorHAnsi"/>
        </w:rPr>
        <w:t xml:space="preserve">GAL are obligația de a elabora un Calendar estimativ al lansării măsurilor prevăzute în SDL, pentru fiecare an calendaristic. </w:t>
      </w:r>
      <w:r>
        <w:rPr>
          <w:rFonts w:eastAsia="Calibri" w:asciiTheme="minorHAnsi" w:hAnsiTheme="minorHAnsi"/>
          <w:lang w:val="ro-RO"/>
        </w:rPr>
        <w:t xml:space="preserve">Calendarul estimativ publicat și afișat cel puțin la sediile primăriilor partenere GAL poate fi modificat cu cel puțin 5 zile lucrătoare înainte de începerea sesiunii, putând fi modificate sesiunile și alocările aferente. Pentru asigurarea transparenței, Calendarul modificat va înlocui calendarul inițial și va fi postat pe pagina de internet a GAL și afișat cel puțin la sediile primăriilor partenere GAL. </w:t>
      </w:r>
    </w:p>
    <w:p>
      <w:pPr>
        <w:spacing w:line="276" w:lineRule="auto"/>
        <w:jc w:val="both"/>
        <w:rPr>
          <w:rFonts w:eastAsia="Calibri" w:asciiTheme="minorHAnsi" w:hAnsiTheme="minorHAnsi"/>
        </w:rPr>
      </w:pPr>
    </w:p>
    <w:p>
      <w:pPr>
        <w:spacing w:line="276" w:lineRule="auto"/>
        <w:jc w:val="both"/>
        <w:rPr>
          <w:rFonts w:eastAsia="Calibri" w:asciiTheme="minorHAnsi" w:hAnsiTheme="minorHAnsi"/>
          <w:color w:val="000000" w:themeColor="text1"/>
        </w:rPr>
      </w:pPr>
      <w:r>
        <w:rPr>
          <w:rFonts w:eastAsia="Calibri" w:asciiTheme="minorHAnsi" w:hAnsiTheme="minorHAnsi"/>
        </w:rPr>
        <w:t xml:space="preserve">Apelul de selecție se lansează cu minimum 30 de zile calendaristice înainte de data limită de depunere a proiectelor, în așa fel încât potențialii beneficiari să aibă timp suficient pentru pregătirea și depunerea acestora. </w:t>
      </w:r>
    </w:p>
    <w:p>
      <w:pPr>
        <w:spacing w:line="276" w:lineRule="auto"/>
        <w:jc w:val="both"/>
        <w:rPr>
          <w:rFonts w:eastAsia="Calibri" w:asciiTheme="minorHAnsi" w:hAnsiTheme="minorHAnsi"/>
          <w:lang w:val="ro-RO"/>
        </w:rPr>
      </w:pPr>
    </w:p>
    <w:p>
      <w:pPr>
        <w:spacing w:line="276" w:lineRule="auto"/>
        <w:jc w:val="both"/>
        <w:rPr>
          <w:rFonts w:eastAsia="Calibri" w:asciiTheme="minorHAnsi" w:hAnsiTheme="minorHAnsi"/>
          <w:lang w:val="ro-RO"/>
        </w:rPr>
      </w:pPr>
      <w:r>
        <w:rPr>
          <w:rFonts w:eastAsia="Calibri" w:asciiTheme="minorHAnsi" w:hAnsiTheme="minorHAnsi"/>
          <w:lang w:val="ro-RO"/>
        </w:rPr>
        <w:t>Înainte de lansarea apelului de selecție, acesta trebuie să fie avizat de reprezentantul CDRJ, care se asigură de corectitudinea informațiilor conținute în apel, informații care trebuie să fie în concordanță cu Strategia de Dezvoltare Locală aprobată și cu prevederile fișei măsurii din SDL, PNDR 2014-2020 și legislația națională și europeană specifică, respectiv prevederile din Ghidul solicitantului elaborat de către GAL pentru măsura respectivă.</w:t>
      </w:r>
    </w:p>
    <w:p>
      <w:pPr>
        <w:spacing w:line="276" w:lineRule="auto"/>
        <w:jc w:val="both"/>
        <w:rPr>
          <w:rFonts w:eastAsia="Calibri" w:asciiTheme="minorHAnsi" w:hAnsiTheme="minorHAnsi"/>
          <w:lang w:val="ro-RO"/>
        </w:rPr>
      </w:pPr>
    </w:p>
    <w:p>
      <w:pPr>
        <w:spacing w:line="276" w:lineRule="auto"/>
        <w:jc w:val="both"/>
        <w:rPr>
          <w:rFonts w:eastAsia="Calibri" w:asciiTheme="minorHAnsi" w:hAnsiTheme="minorHAnsi"/>
        </w:rPr>
      </w:pPr>
      <w:r>
        <w:rPr>
          <w:rFonts w:eastAsia="Calibri" w:asciiTheme="minorHAnsi" w:hAnsiTheme="minorHAnsi"/>
          <w:lang w:val="ro-RO"/>
        </w:rPr>
        <w:t>În vederea deschiderii sesiunilor de primire a proiectelor, GAL lansează pe plan local apeluri de selecție a proiectelor, conform priorităților descrise în strategie. Acestea vor respecta prevederile din Ghidul Solicitantului pentru implementarea sub-măsurii 19.2 privind termenele stabilite, structura apelului de selecție și asigurarea transparenței. Se va avea în vedere respectarea prevederilor procedurii sM 19.2 valabilă la momentul deschiderii sesiunii de depunere a proiectelor.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Apelul de selecție se poate lansa cu minimum 10 zile calendaristice înainte de data limită de depunere a proiectelor la GAL numai în situația în care acest apel de selecție va conține toate prevederile și informațiile care au facut obiectul ultimului apel de selecție pe măsura respectivă, inclusiv punctajele pentru criteriile de selecție, cu excepția alocării financiare, fiind astfel respectat principiul transparenței.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Apelurile de selecție pot fi prelungite cu aprobarea </w:t>
      </w:r>
      <w:r>
        <w:rPr>
          <w:rFonts w:ascii="Trebuchet MS" w:hAnsi="Trebuchet MS"/>
        </w:rPr>
        <w:t>Adunării Generale a GAL/</w:t>
      </w:r>
      <w:r>
        <w:rPr>
          <w:rFonts w:eastAsia="Calibri" w:asciiTheme="minorHAnsi" w:hAnsiTheme="minorHAnsi"/>
        </w:rPr>
        <w:t>Consiliului Director al GAL, în conformitate cu procedurile interne ale GAL. Anunțul privind prelungirea trebuie să se facă numai în timpul sesiunii în derulare, nu mai târziu de ultima zi a acestei sesiuni. Atunci când se prelungește apelul de selecție, valoarea maximă nerambursabilă care poate fi acordată pentru finanțarea unui proiect nu poate fi modificată (în sensul creșterii/diminuării).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De asemenea, nu este permisă nicio altă modificare în conținutul apelului de selecție pe perioada de depunere a proiectelor (inclusiv pe durata prelungirii), pentru a se respecta principiul egalității de șanse între solicitanți.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Varianta detaliată a apelului de selecție trebuie să conțină minimum următoarele informații:</w:t>
      </w:r>
    </w:p>
    <w:p>
      <w:pPr>
        <w:pStyle w:val="43"/>
        <w:numPr>
          <w:ilvl w:val="0"/>
          <w:numId w:val="4"/>
        </w:numPr>
        <w:spacing w:line="276" w:lineRule="auto"/>
        <w:jc w:val="both"/>
        <w:rPr>
          <w:rFonts w:eastAsia="Calibri"/>
          <w:sz w:val="24"/>
          <w:szCs w:val="24"/>
        </w:rPr>
      </w:pPr>
      <w:r>
        <w:rPr>
          <w:rFonts w:eastAsia="Calibri"/>
          <w:sz w:val="24"/>
          <w:szCs w:val="24"/>
        </w:rPr>
        <w:t>Data lansării apelului de selecție;</w:t>
      </w:r>
    </w:p>
    <w:p>
      <w:pPr>
        <w:pStyle w:val="43"/>
        <w:numPr>
          <w:ilvl w:val="0"/>
          <w:numId w:val="4"/>
        </w:numPr>
        <w:spacing w:line="276" w:lineRule="auto"/>
        <w:jc w:val="both"/>
        <w:rPr>
          <w:rFonts w:eastAsia="Calibri"/>
          <w:sz w:val="24"/>
          <w:szCs w:val="24"/>
        </w:rPr>
      </w:pPr>
      <w:r>
        <w:rPr>
          <w:rFonts w:eastAsia="Calibri"/>
          <w:sz w:val="24"/>
          <w:szCs w:val="24"/>
        </w:rPr>
        <w:t>Data limită de depunere a proiectelor;</w:t>
      </w:r>
    </w:p>
    <w:p>
      <w:pPr>
        <w:pStyle w:val="43"/>
        <w:numPr>
          <w:ilvl w:val="0"/>
          <w:numId w:val="4"/>
        </w:numPr>
        <w:spacing w:line="276" w:lineRule="auto"/>
        <w:jc w:val="both"/>
        <w:rPr>
          <w:rFonts w:eastAsia="Calibri"/>
          <w:sz w:val="24"/>
          <w:szCs w:val="24"/>
        </w:rPr>
      </w:pPr>
      <w:r>
        <w:rPr>
          <w:rFonts w:eastAsia="Calibri"/>
          <w:sz w:val="24"/>
          <w:szCs w:val="24"/>
        </w:rPr>
        <w:t>Locul și intervalul orar în care se pot depune proiectele;</w:t>
      </w:r>
    </w:p>
    <w:p>
      <w:pPr>
        <w:pStyle w:val="43"/>
        <w:numPr>
          <w:ilvl w:val="0"/>
          <w:numId w:val="4"/>
        </w:numPr>
        <w:spacing w:line="276" w:lineRule="auto"/>
        <w:jc w:val="both"/>
        <w:rPr>
          <w:rFonts w:eastAsia="Calibri"/>
        </w:rPr>
      </w:pPr>
      <w:r>
        <w:rPr>
          <w:rFonts w:eastAsia="Calibri"/>
          <w:sz w:val="24"/>
          <w:szCs w:val="24"/>
        </w:rPr>
        <w:t>Fondul disponibil – alocat în acea sesiune, cu următoarele precizări:</w:t>
      </w:r>
    </w:p>
    <w:p>
      <w:pPr>
        <w:spacing w:line="276" w:lineRule="auto"/>
        <w:jc w:val="both"/>
        <w:rPr>
          <w:rFonts w:eastAsia="Calibri" w:asciiTheme="minorHAnsi" w:hAnsiTheme="minorHAnsi"/>
        </w:rPr>
      </w:pPr>
      <w:r>
        <w:rPr>
          <w:rFonts w:eastAsia="Calibri" w:asciiTheme="minorHAnsi" w:hAnsiTheme="minorHAnsi"/>
        </w:rPr>
        <w:t>-   Suma maximă nerambursabilă care poate fi acordată pentru finanțarea unui proiect;</w:t>
      </w:r>
    </w:p>
    <w:p>
      <w:pPr>
        <w:spacing w:line="276" w:lineRule="auto"/>
        <w:jc w:val="both"/>
        <w:rPr>
          <w:rFonts w:eastAsia="Calibri" w:asciiTheme="minorHAnsi" w:hAnsiTheme="minorHAnsi"/>
        </w:rPr>
      </w:pPr>
      <w:r>
        <w:rPr>
          <w:rFonts w:eastAsia="Calibri" w:asciiTheme="minorHAnsi" w:hAnsiTheme="minorHAnsi"/>
        </w:rPr>
        <w:t>-   Valoarea   maximă   eligibilă   (sumă   nerambursabilă)   nu   poate   depăși   200.000   de euro/proiect și va respecta cuantumul maxim prevăzut în fișa tehnică a măsurii din SDL, dacă acesta este mai mic de 200.000 de euro;</w:t>
      </w:r>
    </w:p>
    <w:p>
      <w:pPr>
        <w:spacing w:line="276" w:lineRule="auto"/>
        <w:jc w:val="both"/>
        <w:rPr>
          <w:rFonts w:eastAsia="Calibri" w:asciiTheme="minorHAnsi" w:hAnsiTheme="minorHAnsi"/>
        </w:rPr>
      </w:pPr>
      <w:r>
        <w:rPr>
          <w:rFonts w:eastAsia="Calibri" w:asciiTheme="minorHAnsi" w:hAnsiTheme="minorHAnsi"/>
        </w:rPr>
        <w:t>-   Intensitatea sprijinului nu poate depăși intensitatea aprobată de către DGDR AM PNDR</w:t>
      </w:r>
    </w:p>
    <w:p>
      <w:pPr>
        <w:spacing w:line="276" w:lineRule="auto"/>
        <w:jc w:val="both"/>
        <w:rPr>
          <w:rFonts w:eastAsia="Calibri" w:asciiTheme="minorHAnsi" w:hAnsiTheme="minorHAnsi"/>
        </w:rPr>
      </w:pPr>
      <w:r>
        <w:rPr>
          <w:rFonts w:eastAsia="Calibri" w:asciiTheme="minorHAnsi" w:hAnsiTheme="minorHAnsi"/>
        </w:rPr>
        <w:t>pentru măsura în cauză, prin aprobarea SDL.</w:t>
      </w:r>
    </w:p>
    <w:p>
      <w:pPr>
        <w:pStyle w:val="43"/>
        <w:numPr>
          <w:ilvl w:val="0"/>
          <w:numId w:val="5"/>
        </w:numPr>
        <w:spacing w:line="276" w:lineRule="auto"/>
        <w:jc w:val="both"/>
        <w:rPr>
          <w:rFonts w:eastAsia="Calibri"/>
          <w:sz w:val="24"/>
          <w:szCs w:val="24"/>
        </w:rPr>
      </w:pPr>
      <w:r>
        <w:rPr>
          <w:rFonts w:eastAsia="Calibri"/>
          <w:sz w:val="24"/>
          <w:szCs w:val="24"/>
        </w:rPr>
        <w:t>Modelul de cerere de finanțare pe care trebuie să-l folosescă solicitanții (versiune editabilă);</w:t>
      </w:r>
    </w:p>
    <w:p>
      <w:pPr>
        <w:pStyle w:val="43"/>
        <w:numPr>
          <w:ilvl w:val="0"/>
          <w:numId w:val="5"/>
        </w:numPr>
        <w:spacing w:line="276" w:lineRule="auto"/>
        <w:jc w:val="both"/>
        <w:rPr>
          <w:rFonts w:eastAsia="Calibri"/>
          <w:sz w:val="24"/>
          <w:szCs w:val="24"/>
        </w:rPr>
      </w:pPr>
      <w:r>
        <w:rPr>
          <w:rFonts w:eastAsia="Calibri"/>
          <w:sz w:val="24"/>
          <w:szCs w:val="24"/>
        </w:rPr>
        <w:t>Documentele justificative pe care trebuie să le depună solicitantul odată cu depunerea proiectului în conformitate cu cerințele fișei măsurii din SDL și ale Ghidului solicitantului elaborat  de  către  GAL  pentru  măsura  respectivă.  Se  vor  menționa  și  documentele justificative  pe  care  trebuie  să  le depună  solicitantul  în  vederea  punctării  criteriilor de selecție;</w:t>
      </w:r>
    </w:p>
    <w:p>
      <w:pPr>
        <w:pStyle w:val="43"/>
        <w:numPr>
          <w:ilvl w:val="0"/>
          <w:numId w:val="5"/>
        </w:numPr>
        <w:spacing w:line="276" w:lineRule="auto"/>
        <w:jc w:val="both"/>
        <w:rPr>
          <w:rFonts w:eastAsia="Calibri"/>
          <w:sz w:val="24"/>
          <w:szCs w:val="24"/>
        </w:rPr>
      </w:pPr>
      <w:r>
        <w:rPr>
          <w:rFonts w:eastAsia="Calibri"/>
          <w:sz w:val="24"/>
          <w:szCs w:val="24"/>
        </w:rPr>
        <w:t>Cerințele de conformitate și eligibilitate pe care trebuie să le îndeplinească solicitantul,inclusiv metodologia de verificare a acestora;</w:t>
      </w:r>
    </w:p>
    <w:p>
      <w:pPr>
        <w:pStyle w:val="43"/>
        <w:numPr>
          <w:ilvl w:val="0"/>
          <w:numId w:val="5"/>
        </w:numPr>
        <w:spacing w:line="276" w:lineRule="auto"/>
        <w:jc w:val="both"/>
        <w:rPr>
          <w:rFonts w:eastAsia="Calibri"/>
          <w:sz w:val="24"/>
          <w:szCs w:val="24"/>
        </w:rPr>
      </w:pPr>
      <w:r>
        <w:rPr>
          <w:rFonts w:eastAsia="Calibri"/>
          <w:sz w:val="24"/>
          <w:szCs w:val="24"/>
        </w:rPr>
        <w:t>Procedura de selecție aplicată de Comitetul de Selecție al GAL;</w:t>
      </w:r>
    </w:p>
    <w:p>
      <w:pPr>
        <w:pStyle w:val="43"/>
        <w:numPr>
          <w:ilvl w:val="0"/>
          <w:numId w:val="5"/>
        </w:numPr>
        <w:spacing w:line="276" w:lineRule="auto"/>
        <w:jc w:val="both"/>
        <w:rPr>
          <w:rFonts w:eastAsia="Calibri"/>
          <w:sz w:val="24"/>
          <w:szCs w:val="24"/>
        </w:rPr>
      </w:pPr>
      <w:r>
        <w:rPr>
          <w:rFonts w:eastAsia="Calibri"/>
          <w:sz w:val="24"/>
          <w:szCs w:val="24"/>
        </w:rPr>
        <w:t>Criteriile de selecție cu punctajele aferente, punctajul minim pentru selectarea unui proiect și criteriile de departajare ale proiectelor cu același punctaj, inclusiv metodologia de verificare a acestora. Punctajele aferente fiecărui criteriu de selecție se stabilesc cu aprobarea Adunării Generale a Asociaților/Consiliului Director (AGA/CD);</w:t>
      </w:r>
    </w:p>
    <w:p>
      <w:pPr>
        <w:pStyle w:val="43"/>
        <w:numPr>
          <w:ilvl w:val="0"/>
          <w:numId w:val="5"/>
        </w:numPr>
        <w:spacing w:line="276" w:lineRule="auto"/>
        <w:jc w:val="both"/>
        <w:rPr>
          <w:rFonts w:eastAsia="Calibri"/>
          <w:sz w:val="24"/>
          <w:szCs w:val="24"/>
        </w:rPr>
      </w:pPr>
      <w:r>
        <w:rPr>
          <w:rFonts w:eastAsia="Calibri"/>
          <w:sz w:val="24"/>
          <w:szCs w:val="24"/>
        </w:rPr>
        <w:t>Data și modul de anunțare a rezultatelor procesului de selecție (notificarea solicitanților, publicarea Raportului de Selecție);</w:t>
      </w:r>
    </w:p>
    <w:p>
      <w:pPr>
        <w:pStyle w:val="43"/>
        <w:numPr>
          <w:ilvl w:val="0"/>
          <w:numId w:val="5"/>
        </w:numPr>
        <w:spacing w:line="276" w:lineRule="auto"/>
        <w:jc w:val="both"/>
        <w:rPr>
          <w:sz w:val="24"/>
          <w:szCs w:val="24"/>
        </w:rPr>
      </w:pPr>
      <w:r>
        <w:rPr>
          <w:rFonts w:eastAsia="Calibri"/>
          <w:sz w:val="24"/>
          <w:szCs w:val="24"/>
        </w:rPr>
        <w:t>Datele de contact ale GAL unde solicitanții pot obține informații detaliate;</w:t>
      </w:r>
    </w:p>
    <w:p>
      <w:pPr>
        <w:pStyle w:val="43"/>
        <w:numPr>
          <w:ilvl w:val="0"/>
          <w:numId w:val="5"/>
        </w:numPr>
        <w:spacing w:line="276" w:lineRule="auto"/>
        <w:jc w:val="both"/>
        <w:rPr>
          <w:rFonts w:eastAsia="Calibri"/>
          <w:sz w:val="24"/>
          <w:szCs w:val="24"/>
        </w:rPr>
      </w:pPr>
      <w:r>
        <w:rPr>
          <w:rFonts w:eastAsia="Calibri"/>
          <w:sz w:val="24"/>
          <w:szCs w:val="24"/>
        </w:rPr>
        <w:t>Alte  informații  pe  care  GAL  le  consideră  relevante  (ex.:  detalii  despre  monitorizarea plăților).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Aceste informații vor fi prezentate de către GAL în apelurile de selecție – varianta detaliată, publicată pe pagina de internet a GAL-ului și disponibilă pe suport tipărit la sediul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va studia pagina web a GAL şi va verifica dacă există apeluri de selecţie deschise.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această etapă, echipa tehnică a GAL Platoul Mehedintiva furniza solicitantului informaţii necesare astfel încât:</w:t>
      </w:r>
    </w:p>
    <w:p>
      <w:pPr>
        <w:pStyle w:val="43"/>
        <w:numPr>
          <w:ilvl w:val="0"/>
          <w:numId w:val="6"/>
        </w:numPr>
        <w:spacing w:line="276" w:lineRule="auto"/>
        <w:jc w:val="both"/>
        <w:rPr>
          <w:rFonts w:eastAsia="Calibri"/>
          <w:sz w:val="24"/>
          <w:szCs w:val="24"/>
        </w:rPr>
      </w:pPr>
      <w:r>
        <w:rPr>
          <w:rFonts w:eastAsia="Calibri"/>
          <w:sz w:val="24"/>
          <w:szCs w:val="24"/>
        </w:rPr>
        <w:t>Solicitantul să poată identifica linia de finanţare pe care se încadrează în vederea depunerii unui proiect la nivel de GAL;</w:t>
      </w:r>
    </w:p>
    <w:p>
      <w:pPr>
        <w:pStyle w:val="43"/>
        <w:numPr>
          <w:ilvl w:val="0"/>
          <w:numId w:val="6"/>
        </w:numPr>
        <w:spacing w:line="276" w:lineRule="auto"/>
        <w:jc w:val="both"/>
        <w:rPr>
          <w:rFonts w:eastAsia="Calibri"/>
          <w:sz w:val="24"/>
          <w:szCs w:val="24"/>
        </w:rPr>
      </w:pPr>
      <w:r>
        <w:rPr>
          <w:rFonts w:eastAsia="Calibri"/>
          <w:sz w:val="24"/>
          <w:szCs w:val="24"/>
        </w:rPr>
        <w:t>Solicitantul să poată decide când va prezenta un proiect la nivel de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va  întocmi  proiectul,  cu  studierea  tuturor  materialelor  publicate  pe  site  GAL  şi, totodată, cu respectarea indicaţiilor şi recomandărilor GAL. Ghidul solicitantului, care stă la baza completării Cererii de finanţare este disponibil în mod gratuit la sediul GAL Platoul Mehedinti, precum si pe site-ul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 baza informaţiilor din Ghid, solicitantul întocmeşte Cererea de finanţare: formularul de cerere</w:t>
      </w:r>
    </w:p>
    <w:p>
      <w:pPr>
        <w:spacing w:line="276" w:lineRule="auto"/>
        <w:jc w:val="both"/>
        <w:rPr>
          <w:rFonts w:eastAsia="Calibri" w:asciiTheme="minorHAnsi" w:hAnsiTheme="minorHAnsi"/>
        </w:rPr>
      </w:pPr>
      <w:r>
        <w:rPr>
          <w:rFonts w:eastAsia="Calibri" w:asciiTheme="minorHAnsi" w:hAnsiTheme="minorHAnsi"/>
        </w:rPr>
        <w:t>de finanţare şi anexele administrative şi tehnice cerute prin acest formular.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Atenție!  Cererile  de  finanțare  utilizate  de  solicitanți  vor  fi  cele  disponibile  pe  site-ul  GAL  la</w:t>
      </w:r>
    </w:p>
    <w:p>
      <w:pPr>
        <w:spacing w:line="276" w:lineRule="auto"/>
        <w:jc w:val="both"/>
        <w:rPr>
          <w:rFonts w:eastAsia="Calibri" w:asciiTheme="minorHAnsi" w:hAnsiTheme="minorHAnsi"/>
        </w:rPr>
      </w:pPr>
      <w:r>
        <w:rPr>
          <w:rFonts w:eastAsia="Calibri" w:asciiTheme="minorHAnsi" w:hAnsiTheme="minorHAnsi"/>
        </w:rPr>
        <w:t>momentul lansării apelului de selecție.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Cererea de Finanțare se va redacta pe calculator, în limba română și trebuie însoțită de anexele prevăzute  în modelul standard. Anexele Cererii de Finanțare fac parte integrantă din aceasta. Documentele obligatorii de anexat la momentul depunerii Cererii de Finanțare vor fi cele precizate în modelul-cadru.</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Completarea Cererii de Finanțare, inclusiv a anexelor acesteia, se va face conform modelului standard adaptat de GAL. Modificarea modelului standard de către solicitant (eliminarea, renumerotarea secţiunilor, anexarea documentelor suport în altă ordine decât cea specificată etc.) poate conduce la respingerea Dosarului Cererii de Finanțare.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Cererea de Finanțare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Compartimentul tehnic al GAL asigură suportul necesar solicitanților pentru completarea cererilor de finanțare, privind aspectele de conformitate pe care  aceștia trebuie să le  îndeplinească. Responsabilitatea completării cererii de finanțare în conformitate cu Ghidul Solicitatului aparține solicitantului.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faza de întocmire a proiectului, echipa tehnică  aGALPlatoul Mehedinti va răspunde la solicitările de clarificări primite, însa aceasta nu va participa alături de solicitant la întocmirea proiectului. Prin urmare, la cerere, GAL Platoul Mehedintiva furniza informaţii suplimentare cu privire la acele prevederi din ghiduri care îi sunt neclare solicitantului. Echipa tehnică a GAL nu va acorda consultanţă beneficiarului cu scopul realizării proiectului.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Odată finalizată cererea de finanţare împreună cu documentele ataşate, se constituie în „dosarul cererii de finanţare”. </w:t>
      </w:r>
    </w:p>
    <w:p>
      <w:pPr>
        <w:spacing w:line="276" w:lineRule="auto"/>
        <w:jc w:val="both"/>
        <w:rPr>
          <w:rFonts w:eastAsia="Calibri" w:asciiTheme="minorHAnsi" w:hAnsiTheme="minorHAnsi"/>
        </w:rPr>
      </w:pPr>
      <w:r>
        <w:rPr>
          <w:rFonts w:eastAsia="Calibri" w:asciiTheme="minorHAnsi" w:hAnsiTheme="minorHAnsi"/>
        </w:rPr>
        <w:t>Aceste documente sunt depuse la GAL Platoul Mehedintipersonal de către reprezentantul legal, aşa cum este precizat  în  formularul  Cerere  de  finanţare  sau  de  un  împuternicit,  prin  procură  legalizată  (în original) a reprezentantului legal, înaintea datei care figurează în cererea de proiecte. Solicitantul se va asigura că dosarul cererii de finanţare este complet la momentul depunerii.</w:t>
      </w:r>
    </w:p>
    <w:p>
      <w:pPr>
        <w:spacing w:line="276" w:lineRule="auto"/>
        <w:jc w:val="both"/>
        <w:rPr>
          <w:rFonts w:eastAsia="Calibri" w:asciiTheme="minorHAnsi" w:hAnsiTheme="minorHAnsi"/>
        </w:rPr>
      </w:pPr>
      <w:r>
        <w:rPr>
          <w:rFonts w:eastAsia="Calibri" w:asciiTheme="minorHAnsi" w:hAnsiTheme="minorHAnsi"/>
        </w:rPr>
        <w:t>In orice moment al evaluarii proiectului, solicitantul poate decide retragerea cererii de finantare depuse. Pentru retragerea cererii de finantare acesta depune la secretariatul GAL, formularul “CERERE DE RENUNŢARE LA CEREREA DE FINANŢARE”, anexa la prezenta procedura, completat ce va fi inaintat managerului GAL spre aprobare. Dupa aprobarea cererii de renuntare, exemplarul “original” se restituie solicitantului pe baza unui proces-verbal de restituire, încheiat în 2 exemplare, semnat de ambele părți. Exemplarul copie al Cererii de finanțare retrase va rămâne la GAL, pentru eventuale verificări ulterioare (Audit, DCA, Curtea de Conturi, eventuale contestații etc.).</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4.2 Primirea cererii de finanţare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va depune proiectul la sediul GAL PlatoulMehedintidin Sat Isverna, ComunaIsverna, judetulMehedinti,de luni pana vineri, in intervalul orar 9.00 - 16.00, în perioada de valabilitate a sesiunii de proiecte in conformitatea cu prevederile mentionate in cadrul apelului de selectie.</w:t>
      </w:r>
    </w:p>
    <w:p>
      <w:pPr>
        <w:tabs>
          <w:tab w:val="left" w:pos="360"/>
          <w:tab w:val="left" w:pos="900"/>
          <w:tab w:val="left" w:pos="1440"/>
          <w:tab w:val="left" w:pos="9360"/>
        </w:tabs>
        <w:spacing w:before="120" w:after="120" w:line="276" w:lineRule="auto"/>
        <w:jc w:val="both"/>
        <w:rPr>
          <w:rFonts w:asciiTheme="minorHAnsi" w:hAnsiTheme="minorHAnsi" w:cstheme="minorHAnsi"/>
          <w:bCs/>
          <w:color w:val="000000"/>
        </w:rPr>
      </w:pPr>
      <w:r>
        <w:rPr>
          <w:rFonts w:asciiTheme="minorHAnsi" w:hAnsiTheme="minorHAnsi" w:cstheme="minorHAnsi"/>
          <w:bCs/>
          <w:color w:val="000000"/>
        </w:rPr>
        <w:t xml:space="preserve">Apelul de selectieva dura 30 de zilecalendaristicesau, dacavaloareaproiectelordepuseeste de celputin 110% din valoareaalocariisesiunii, se reduce perioada de 30 de zilecalendaristice, dar nu maiputin de 5 zilelucratoare. </w:t>
      </w:r>
    </w:p>
    <w:p>
      <w:pPr>
        <w:tabs>
          <w:tab w:val="left" w:pos="360"/>
          <w:tab w:val="left" w:pos="900"/>
          <w:tab w:val="left" w:pos="1440"/>
          <w:tab w:val="left" w:pos="9360"/>
        </w:tabs>
        <w:spacing w:before="120" w:after="120" w:line="276" w:lineRule="auto"/>
        <w:jc w:val="both"/>
        <w:rPr>
          <w:rFonts w:asciiTheme="minorHAnsi" w:hAnsiTheme="minorHAnsi" w:cstheme="minorHAnsi"/>
          <w:bCs/>
          <w:color w:val="000000"/>
          <w:lang w:val="ro-RO"/>
        </w:rPr>
      </w:pPr>
      <w:r>
        <w:rPr>
          <w:rFonts w:asciiTheme="minorHAnsi" w:hAnsiTheme="minorHAnsi" w:cstheme="minorHAnsi"/>
          <w:bCs/>
          <w:color w:val="000000"/>
          <w:u w:val="single"/>
        </w:rPr>
        <w:t>Astfel, depunereaproiectelorîncadrulsesiunii se opreşteînainte de termenullimită de 30 de zilecalendaristiceprevăzutînapelul de selectie, atuncicândvaloareapublicătotală a proiectelordepuseajunge la celputin 110% din nivelulalocăriisesiunii, cu excepțiaprimelor 5 zilelucratoare ale perioadei de depunere</w:t>
      </w:r>
      <w:r>
        <w:rPr>
          <w:rFonts w:asciiTheme="minorHAnsi" w:hAnsiTheme="minorHAnsi" w:cstheme="minorHAnsi"/>
          <w:bCs/>
          <w:color w:val="000000"/>
        </w:rPr>
        <w:t>, cândoprireadepunerilor de proiecte nu estecondiționată de atingereaplafonului de celputin 110% din nivelulalocăriisesiunii.</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Apelurile de selecție pot fi prelungite cu aprobarea Consiliului Director al GAL, în conformitate cu procedurile interne ale GAL si cu prevederile Ghidului de implementare a sub-masurii 19.2 si a Ghidului Grupurilor de Actiune Locala pentru implementarea SDL.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va depune Cererea de Finanţare cu anexele tehnice şi administrative ataşate în doua exemplare pe suport de hârtie şi doua exemplare în copie electronică (prin scanare insotite de cererea de finantare in format editabil).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Responsabilul din cadrul GAL-ului înregistrează cererea de finanţare în Registrul de Intrări/Iesiri, aplică un numar de înregistrare pe prima pagina a proiectului, iar solicitantul primeste un bon cu acest număr de înregistrare. Numărul de înregistrare va fi alocat în ordinea depunerii proiectelor. Numărul de înregistrare alocat este diferit de numărul de înregistrare atribuit cererii de finanţare, acesta din urmă completându-se la nivelul structurilor AFIR.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este invitat să revină la sediul GAL Platoul Mehedintidupă evaluarea conformităţii pentru a fi înştiinţat dacă cererea de finanţare este conformă sau i se explică cauzele neconformităţii.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ziua primirii dosarului cererii de finanțare la GAL, Managerul GAL repartizează dosarul unui expert evaluator GAL pe baza criteriului de repartizare uniformă din punct de vedere al numărului   de cereri. Expertul căruia i-a fost repartizată cererea de finanțare înființează dosarul administrativ.Dosarul va avea același număr cu numărul de înregistrare al cererii de finanțare, o copertă și un opis.</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rPr>
        <w:pict>
          <v:group id="Group 18" o:spid="_x0000_s1037" o:spt="203" style="position:absolute;left:0pt;margin-left:70.55pt;margin-top:0.55pt;height:16.9pt;width:488.95pt;mso-position-horizontal-relative:page;z-index:-251650048;mso-width-relative:page;mso-height-relative:page;" coordorigin="1412,12" coordsize="9779,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">
            <o:lock v:ext="edit"/>
            <v:shape id="Freeform 19" o:spid="_x0000_s1038" style="position:absolute;left:1412;top:12;height:338;width:9779;" fillcolor="#C5D9F0" filled="t" stroked="f"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" path="m0,338l9779,338,9779,0,0,0,0,338xe">
              <v:path arrowok="t" o:connecttype="custom" o:connectlocs="0,350;9779,350;9779,12;0,12;0,350" o:connectangles="0,0,0,0,0"/>
              <v:fill on="t" focussize="0,0"/>
              <v:stroke on="f"/>
              <v:imagedata o:title=""/>
              <o:lock v:ext="edit"/>
            </v:shape>
          </v:group>
        </w:pict>
      </w:r>
      <w:r>
        <w:rPr>
          <w:rFonts w:eastAsia="Calibri" w:asciiTheme="minorHAnsi" w:hAnsiTheme="minorHAnsi"/>
          <w:b/>
        </w:rPr>
        <w:t>4.3 Verificareaconformitatii administrative a DosaruluiCererii de Finanțare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Verificarea conformităţii proiectului se realizează la nivelul GAL Platoul Mehedintiutilizând formularul  </w:t>
      </w:r>
    </w:p>
    <w:p>
      <w:pPr>
        <w:spacing w:line="276" w:lineRule="auto"/>
        <w:jc w:val="both"/>
        <w:rPr>
          <w:rFonts w:eastAsia="Calibri" w:asciiTheme="minorHAnsi" w:hAnsiTheme="minorHAnsi"/>
        </w:rPr>
      </w:pPr>
      <w:r>
        <w:rPr>
          <w:rFonts w:eastAsia="Calibri" w:asciiTheme="minorHAnsi" w:hAnsiTheme="minorHAnsi"/>
        </w:rPr>
        <w:t>„ Fișa de verificare a conformităţii proiectului” aferent fiecărei masuri din SDL şi anexă la Ghidul Solicitatului.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Termenul de emitere a formularului „ Fișa de verificare a conformităţii proiectului” este de maximum 5 (cinci) zile lucrătoare începând cu ziua următoare primirii si inregistrarii cererii de finanțare.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În cazul în care constată erori de formă (de ex: omisiuni privind bifarea anumitor casete - inclusiv din cererea de finanțare, semnării anumitor pagini, sau informatiile completate contin erori de forma), expertul GAL poate corecta si mentiona acest lucru la rubrica “Observatii”.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In cazul in care, expertul constata existenta unor erori de fond, cererea de finantare este declarata neconforma (de exemplu, nesemnarea Sectiunii F. Declaratie pe propria raspundere a solicitantului constituie eroare de fond).</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Dacă expertul constată că la dosarul Cererii de Finantare există toate documentele menţionate şi că acestea îndeplinesc condiţiile cerute, Cererea de Finantare se consideră conformă şi se trece la etapa următoare de verificare.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Cererile de finanțare pentru care concluzia verificării a fost “neconform”, se returnează solicitantului (1 exemplar original, copia rămane în arhiva GAL). În acest caz proiectul poate fi redepus, cu documentația pentru care a fost declarat neconform refacută, o singură dată în cadrul aceluiași apel de selecție. În cazul în care concluzia verificării conformității este de două ori „neconform”, Cererea de finanțare se returnează solicitantului, iar acesta poate redepune proiectul la următorul Apel de selecție lansat de GAL, pe aceeași măsură. </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b/>
        </w:rPr>
        <w:pict>
          <v:group id="Group 14" o:spid="_x0000_s1035" o:spt="203" style="position:absolute;left:0pt;margin-left:70.55pt;margin-top:0.55pt;height:16.8pt;width:488.95pt;mso-position-horizontal-relative:page;z-index:-251649024;mso-width-relative:page;mso-height-relative:page;" coordorigin="1412,11" coordsize="9779,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">
            <o:lock v:ext="edit"/>
            <v:shape id="Freeform 15" o:spid="_x0000_s1036" style="position:absolute;left:1412;top:11;height:336;width:9779;" fillcolor="#C5D9F0" filled="t" stroked="f" coordsize="977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" path="m0,337l9779,337,9779,0,0,0,0,337xe">
              <v:path arrowok="t" o:connecttype="custom" o:connectlocs="0,348;9779,348;9779,11;0,11;0,348" o:connectangles="0,0,0,0,0"/>
              <v:fill on="t" focussize="0,0"/>
              <v:stroke on="f"/>
              <v:imagedata o:title=""/>
              <o:lock v:ext="edit"/>
            </v:shape>
          </v:group>
        </w:pict>
      </w:r>
      <w:r>
        <w:rPr>
          <w:rFonts w:eastAsia="Calibri" w:asciiTheme="minorHAnsi" w:hAnsiTheme="minorHAnsi"/>
          <w:b/>
        </w:rPr>
        <w:t>4.4 Verificareaeligibilității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Verificarea criteriilor de eligibilitate: consta in: verificarea eligibilitatii solicitantului, a criteriilor de eligibilitate, a bugetului indicativ al proiectului, a rezonabilitatii preturilor, verificarea viabilitatii economico-financiare a investitiei, precum si a tuturor documentelor anexate.</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Criteriile de eligibilitate vor fi preluate din fișa tehnică a măsurii din SDL aprobată de către DGDR</w:t>
      </w:r>
    </w:p>
    <w:p>
      <w:pPr>
        <w:spacing w:line="276" w:lineRule="auto"/>
        <w:jc w:val="both"/>
        <w:rPr>
          <w:rFonts w:eastAsia="Calibri" w:asciiTheme="minorHAnsi" w:hAnsiTheme="minorHAnsi"/>
        </w:rPr>
      </w:pPr>
      <w:r>
        <w:rPr>
          <w:rFonts w:eastAsia="Calibri" w:asciiTheme="minorHAnsi" w:hAnsiTheme="minorHAnsi"/>
        </w:rPr>
        <w:t>AM PNDR.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Conform prevederilor PNDR 2014-2020, operațiunile implementate prin LEADER trebuie să îndeplinească cel  puțin  condițiile  generale  de  eligibilitate  prevăzute  în  Regulamentul  (UE)  nr.</w:t>
      </w:r>
    </w:p>
    <w:p>
      <w:pPr>
        <w:spacing w:line="276" w:lineRule="auto"/>
        <w:jc w:val="both"/>
        <w:rPr>
          <w:rFonts w:eastAsia="Calibri" w:asciiTheme="minorHAnsi" w:hAnsiTheme="minorHAnsi"/>
        </w:rPr>
      </w:pPr>
      <w:r>
        <w:rPr>
          <w:rFonts w:eastAsia="Calibri" w:asciiTheme="minorHAnsi" w:hAnsiTheme="minorHAnsi"/>
        </w:rPr>
        <w:t>1305/2013, Regulamentul (UE) nr. 1303/2013, precum și cele prevăzute în cap. 8.1 din PNDR și să</w:t>
      </w:r>
    </w:p>
    <w:p>
      <w:pPr>
        <w:spacing w:line="276" w:lineRule="auto"/>
        <w:jc w:val="both"/>
        <w:rPr>
          <w:rFonts w:eastAsia="Calibri" w:asciiTheme="minorHAnsi" w:hAnsiTheme="minorHAnsi"/>
        </w:rPr>
      </w:pPr>
      <w:r>
        <w:rPr>
          <w:rFonts w:eastAsia="Calibri" w:asciiTheme="minorHAnsi" w:hAnsiTheme="minorHAnsi"/>
        </w:rPr>
        <w:t>contribuie la atingerea obiectivelor stabilite în SDL.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În ceea ce privește proiectele de servicii, pentru a evita crearea de condiții artificiale, un solicitant (inclusiv acționarii/asociații majoritari) poate depune mai multe proiecte simultan la două sau mai multe GAL-uri din același județ, județe diferite sau la același GAL, în cadrul </w:t>
      </w:r>
      <w:r>
        <w:rPr>
          <w:rFonts w:ascii="Calibri" w:hAnsi="Calibri"/>
        </w:rPr>
        <w:t>aceluiași apel sau al</w:t>
      </w:r>
      <w:r>
        <w:rPr>
          <w:rFonts w:eastAsia="Calibri" w:asciiTheme="minorHAnsi" w:hAnsiTheme="minorHAnsi"/>
        </w:rPr>
        <w:t>unor apeluri de selecție diferite, respectând, pe lângă condițiile minime menționate mai sus, următoarele condiții:</w:t>
      </w:r>
    </w:p>
    <w:p>
      <w:pPr>
        <w:spacing w:line="276" w:lineRule="auto"/>
        <w:jc w:val="both"/>
        <w:rPr>
          <w:rFonts w:asciiTheme="minorHAnsi" w:hAnsiTheme="minorHAnsi"/>
        </w:rPr>
      </w:pPr>
    </w:p>
    <w:p>
      <w:pPr>
        <w:pStyle w:val="43"/>
        <w:numPr>
          <w:ilvl w:val="0"/>
          <w:numId w:val="7"/>
        </w:numPr>
        <w:spacing w:line="276" w:lineRule="auto"/>
        <w:jc w:val="both"/>
        <w:rPr>
          <w:rFonts w:eastAsia="Calibri"/>
          <w:sz w:val="24"/>
          <w:szCs w:val="24"/>
        </w:rPr>
      </w:pPr>
      <w:r>
        <w:rPr>
          <w:rFonts w:eastAsia="Calibri"/>
          <w:sz w:val="24"/>
          <w:szCs w:val="24"/>
        </w:rPr>
        <w:t>acțiunile proiectului să nu vizeze aceiași participanți din cadrul GAL, care au mai beneficiat de acțiuni de formare și informare în cadrul altui proiect similar (cu aceeași tematică), inclusiv proiecte finanțate în perioada de programare 2007 - 2013;</w:t>
      </w:r>
    </w:p>
    <w:p>
      <w:pPr>
        <w:pStyle w:val="43"/>
        <w:numPr>
          <w:ilvl w:val="0"/>
          <w:numId w:val="7"/>
        </w:numPr>
        <w:spacing w:line="276" w:lineRule="auto"/>
        <w:jc w:val="both"/>
        <w:rPr>
          <w:rFonts w:eastAsia="Calibri"/>
          <w:sz w:val="24"/>
          <w:szCs w:val="24"/>
        </w:rPr>
      </w:pPr>
      <w:r>
        <w:rPr>
          <w:rFonts w:eastAsia="Calibri"/>
          <w:sz w:val="24"/>
          <w:szCs w:val="24"/>
        </w:rPr>
        <w:t>acțiunile propuse prin noul proiect să nu fie identice cu acțiunile unui proiect anterior depus de către același solicitant în cadrul aceluiași GAL și finanțat.</w:t>
      </w:r>
    </w:p>
    <w:p>
      <w:pPr>
        <w:tabs>
          <w:tab w:val="left" w:pos="180"/>
        </w:tabs>
        <w:jc w:val="both"/>
        <w:rPr>
          <w:rFonts w:ascii="Calibri" w:hAnsi="Calibri" w:cs="Calibri"/>
        </w:rPr>
      </w:pPr>
      <w:r>
        <w:rPr>
          <w:rFonts w:ascii="Calibri" w:hAnsi="Calibri" w:cs="Calibri"/>
          <w:b/>
          <w:color w:val="0070C0"/>
        </w:rPr>
        <w:t>Atenție!</w:t>
      </w:r>
      <w:r>
        <w:rPr>
          <w:rFonts w:ascii="Calibri" w:hAnsi="Calibri" w:cs="Calibri"/>
        </w:rPr>
        <w:t xml:space="preserve">Atât în cazul proiectelor de servicii, cât și în cazul celor de investiții, un solicitant nu poate depune mai mult de un proiect pe o măsură în cadrul aceleiaşi sesiuni lansate de GAL. </w:t>
      </w:r>
    </w:p>
    <w:p>
      <w:pPr>
        <w:pStyle w:val="43"/>
        <w:keepNext/>
        <w:spacing w:before="120" w:after="120"/>
        <w:jc w:val="both"/>
      </w:pPr>
    </w:p>
    <w:p>
      <w:pPr>
        <w:spacing w:line="276" w:lineRule="auto"/>
        <w:jc w:val="both"/>
        <w:rPr>
          <w:rFonts w:eastAsia="Calibri" w:asciiTheme="minorHAnsi" w:hAnsiTheme="minorHAnsi"/>
        </w:rPr>
      </w:pPr>
      <w:r>
        <w:rPr>
          <w:rFonts w:eastAsia="Calibri" w:asciiTheme="minorHAnsi" w:hAnsiTheme="minorHAnsi"/>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trebuie să se regăsească în categoria de beneficiari eligibili menționați în fișa măsurii</w:t>
      </w:r>
    </w:p>
    <w:p>
      <w:pPr>
        <w:spacing w:line="276" w:lineRule="auto"/>
        <w:jc w:val="both"/>
        <w:rPr>
          <w:rFonts w:asciiTheme="minorHAnsi" w:hAnsiTheme="minorHAnsi"/>
        </w:rPr>
      </w:pPr>
      <w:r>
        <w:rPr>
          <w:rFonts w:eastAsia="Calibri" w:asciiTheme="minorHAnsi" w:hAnsiTheme="minorHAnsi"/>
        </w:rPr>
        <w:t xml:space="preserve">din SDL. </w:t>
      </w:r>
    </w:p>
    <w:p>
      <w:pPr>
        <w:spacing w:line="276" w:lineRule="auto"/>
        <w:jc w:val="both"/>
        <w:rPr>
          <w:rFonts w:eastAsia="Calibri" w:asciiTheme="minorHAnsi" w:hAnsiTheme="minorHAnsi"/>
        </w:rPr>
      </w:pPr>
      <w:r>
        <w:rPr>
          <w:rFonts w:eastAsia="Calibri" w:asciiTheme="minorHAnsi" w:hAnsiTheme="minorHAnsi"/>
        </w:rPr>
        <w:t>Localizarea  proiectului/investiția,  respectiv  toate  cheltuielile  aferente  implementării proiectelor trebuie să fie efectuate pe teritoriul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Pentru anumite proiecte de servicii (ex: formare profesională, </w:t>
      </w:r>
      <w:r>
        <w:rPr>
          <w:rFonts w:ascii="Calibri" w:hAnsi="Calibri"/>
          <w:lang w:val="ro-RO"/>
        </w:rPr>
        <w:t>informare, organizare evenimente etc.</w:t>
      </w:r>
      <w:r>
        <w:rPr>
          <w:rFonts w:eastAsia="Calibri" w:asciiTheme="minorHAnsi" w:hAnsiTheme="minorHAnsi"/>
        </w:rPr>
        <w:t>), cheltuielile pot fi eligibile și pentru acțiuni realizate în afara teritoriului GAL (numai pe teritoriul României), dacă beneficiul sprijinului se adresează teritoriului GAL. Serviciile de formare pot fi realizate exclusiv pe teritoriul județului de care aparține GAL sau în județele limitrofe acestuia.</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proiectele de investiții/cu sprijin forfetar, în cazul în care proiectul este amplasat atât pe teritoriul GAL, cât și în zona adiacentă acestuia, finanțarea proiectului este eligibilă cu respectarea următoarelor condiții: solicitantul să aibă sediu sau punct de lucru pe teritoriul acoperit de GAL, investiția să  se  realizeze  pe  teritoriul  GAL  și  ponderea  cea  mai  mare  a  exploatației  agricole (suprafața agricolă/numărul de animale) să se afle pe teritoriul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cazul sectorului pomicol, vor fi luate în considerare pentru sprijin speciile eligibile și suprafeţele incluse în Anexa aferentă Subprogramului Tematic Pomicol (Anexa STP). Nu se supun zonării din Anexa STP culturile de căpșuni în sere și solarii și pepenierele. Se acceptă finanțarea altor specii, care nu sunt cuprinse în Anexa STP, în baza unei analize locale a unui institut certificat, care să ateste potențialul speciei respective într-o anumită zonă.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toate proiectele depuse GAL se vor respecta prevederile aplicabile LEADER (în funcție de tipul de proiect) din cadrul HG nr. 226/2015, cu modificările și completările ulterioare, privind stabilirea cadrului general de implementare a măsurilor PNDR, inclusiv, după caz, prevederile Schemei  de ajutor  de minimis  “Sprijin pentru implementarea acțiunilor în cadrul strategiei de dezvoltare locală” care se aprobă prin ordin al Ministrului Agriculturii și Dezvoltării Rurale.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pPr>
        <w:spacing w:line="276" w:lineRule="auto"/>
        <w:jc w:val="both"/>
        <w:rPr>
          <w:rFonts w:eastAsia="Calibri" w:asciiTheme="minorHAnsi" w:hAnsiTheme="minorHAnsi"/>
        </w:rPr>
      </w:pPr>
      <w:r>
        <w:rPr>
          <w:rFonts w:eastAsia="Calibri" w:asciiTheme="minorHAnsi" w:hAnsiTheme="minorHAnsi"/>
        </w:rPr>
        <w:t>a) respectarea condiţiilor de eligibilitate ale acestuia şi a regulilor ajutoarelor de stat, respectiv a</w:t>
      </w:r>
    </w:p>
    <w:p>
      <w:pPr>
        <w:spacing w:line="276" w:lineRule="auto"/>
        <w:jc w:val="both"/>
        <w:rPr>
          <w:rFonts w:eastAsia="Calibri" w:asciiTheme="minorHAnsi" w:hAnsiTheme="minorHAnsi"/>
        </w:rPr>
      </w:pPr>
      <w:r>
        <w:rPr>
          <w:rFonts w:eastAsia="Calibri" w:asciiTheme="minorHAnsi" w:hAnsiTheme="minorHAnsi"/>
        </w:rPr>
        <w:t>celor de minimis, după caz;</w:t>
      </w:r>
    </w:p>
    <w:p>
      <w:pPr>
        <w:spacing w:line="276" w:lineRule="auto"/>
        <w:jc w:val="both"/>
        <w:rPr>
          <w:rFonts w:eastAsia="Calibri" w:asciiTheme="minorHAnsi" w:hAnsiTheme="minorHAnsi"/>
        </w:rPr>
      </w:pPr>
      <w:r>
        <w:rPr>
          <w:rFonts w:eastAsia="Calibri" w:asciiTheme="minorHAnsi" w:hAnsiTheme="minorHAnsi"/>
        </w:rPr>
        <w:t>b) nu sunt create condiţiile pentru a obţine în mod necuvenit un avantaj, în sensul prevederilor art.</w:t>
      </w:r>
    </w:p>
    <w:p>
      <w:pPr>
        <w:spacing w:line="276" w:lineRule="auto"/>
        <w:jc w:val="both"/>
        <w:rPr>
          <w:rFonts w:eastAsia="Calibri" w:asciiTheme="minorHAnsi" w:hAnsiTheme="minorHAnsi"/>
        </w:rPr>
      </w:pPr>
      <w:r>
        <w:rPr>
          <w:rFonts w:eastAsia="Calibri" w:asciiTheme="minorHAnsi" w:hAnsiTheme="minorHAnsi"/>
        </w:rPr>
        <w:t>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pPr>
        <w:spacing w:line="276" w:lineRule="auto"/>
        <w:jc w:val="both"/>
        <w:rPr>
          <w:rFonts w:ascii="Calibri" w:hAnsi="Calibri"/>
        </w:rPr>
      </w:pPr>
      <w:r>
        <w:rPr>
          <w:rFonts w:eastAsia="Calibri" w:asciiTheme="minorHAnsi" w:hAnsiTheme="minorHAnsi"/>
        </w:rPr>
        <w:t>c) prezentareadoveziicofinanţării private a investiţiei, prin extras de contşi/sau contract de credit acordatînvedereaimplementăriiproiectului.</w:t>
      </w:r>
    </w:p>
    <w:p>
      <w:pPr>
        <w:tabs>
          <w:tab w:val="left" w:pos="180"/>
          <w:tab w:val="left" w:pos="360"/>
        </w:tabs>
        <w:jc w:val="both"/>
        <w:rPr>
          <w:rFonts w:ascii="Calibri" w:hAnsi="Calibri"/>
        </w:rPr>
      </w:pPr>
      <w:r>
        <w:rPr>
          <w:rFonts w:ascii="Calibri" w:hAnsi="Calibri"/>
        </w:rPr>
        <w:t>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 La depunerea următoarelor cereri de plată, condiţia prezentării extrasului de cont, în vederea verificării operaţiunilor întreprinse, nu se mai aplică.</w:t>
      </w:r>
    </w:p>
    <w:p>
      <w:pPr>
        <w:tabs>
          <w:tab w:val="left" w:pos="180"/>
          <w:tab w:val="left" w:pos="360"/>
        </w:tabs>
        <w:jc w:val="both"/>
        <w:rPr>
          <w:rFonts w:ascii="Calibri" w:hAnsi="Calibri"/>
        </w:rPr>
      </w:pPr>
    </w:p>
    <w:p>
      <w:pPr>
        <w:tabs>
          <w:tab w:val="left" w:pos="180"/>
          <w:tab w:val="left" w:pos="360"/>
        </w:tabs>
        <w:jc w:val="both"/>
        <w:rPr>
          <w:rFonts w:ascii="Calibri" w:hAnsi="Calibri"/>
        </w:rPr>
      </w:pPr>
      <w:r>
        <w:rPr>
          <w:rFonts w:ascii="Calibri" w:hAnsi="Calibri"/>
        </w:rPr>
        <w:t>În cazul depunerii mai multor cereri de finanțare, solicitantul/ beneficiarul, după caz, trebuie să dovedească existenţa cofinanţării private pentru toate proiectele.</w:t>
      </w:r>
    </w:p>
    <w:p>
      <w:pPr>
        <w:spacing w:line="276" w:lineRule="auto"/>
        <w:jc w:val="both"/>
        <w:rPr>
          <w:rFonts w:asciiTheme="minorHAnsi" w:hAnsiTheme="minorHAnsi"/>
        </w:rPr>
      </w:pPr>
    </w:p>
    <w:p>
      <w:pPr>
        <w:spacing w:line="276" w:lineRule="auto"/>
        <w:jc w:val="both"/>
        <w:rPr>
          <w:rFonts w:asciiTheme="minorHAnsi" w:hAnsiTheme="minorHAnsi"/>
        </w:rPr>
      </w:pPr>
      <w:r>
        <w:rPr>
          <w:rFonts w:ascii="Calibri" w:hAnsi="Calibri"/>
        </w:rPr>
        <w:t>Pentruproiectele care necesităprezentareadocumentului care atestăevaluareaimpactuluipreconizatasupramediuluişi/sau de evaluareadecvată, respectivaacordului de mediu, evaluareaproiectelor se efectueazăfărăobligativitateaprezentăriiacestordocumente. Acestedocumente se vorprezenta cu respectareaprevederilor HG nr. 226/2015, cu modificărileșicompletărileulterioare, înfuncție de proiectulpropus, inclusive corespondența cu măsurasimilară din PNDR conform informațiilorprezentateînfișatehnică a măsurii din SDL selectată de către DGDR – AM PNDR.</w:t>
      </w:r>
    </w:p>
    <w:p>
      <w:pPr>
        <w:spacing w:line="276" w:lineRule="auto"/>
        <w:jc w:val="both"/>
        <w:rPr>
          <w:rFonts w:eastAsia="Calibri" w:asciiTheme="minorHAnsi" w:hAnsiTheme="minorHAnsi"/>
        </w:rPr>
      </w:pPr>
      <w:r>
        <w:rPr>
          <w:rFonts w:eastAsia="Calibri" w:asciiTheme="minorHAnsi" w:hAnsiTheme="minorHAnsi"/>
        </w:rPr>
        <w:t>Pentruverificareaeligibilității, expertul GAL vautilizaformularul „ Fișa de verificareaeligibilitatiiproiectului”, afferent fiecăreimăsuri din SDL şianexă la GhidulSolicitatului.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Notă! Procesul de evaluare a fiecărei cereri de finanțare presupune obligatoriu verificarea tuturor criteriilor de eligibilitate, chiar dacă, pe parcurs, experții verificatori constată neîndeplinirea unuia sau mai multor criterii.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proiectele de investiții/sprijin forfetar, experții GAL pot realiza vizite pe teren, la amplasamentul proiectului, dacă se consideră necesar. Scopul acestora este asigurarea că datele şi informaţiile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formula numai după verificarea pe teren.</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Rezultatul și concluziile verificării pe teren sunt finalizate prin completarea formularului ,, Fișa de verificare în teren”  la care se vor anexa obligatoriu fotografiile reprezentative din teren.</w:t>
      </w:r>
    </w:p>
    <w:p>
      <w:pPr>
        <w:spacing w:line="276" w:lineRule="auto"/>
        <w:jc w:val="both"/>
        <w:rPr>
          <w:rFonts w:eastAsia="Calibri" w:asciiTheme="minorHAnsi" w:hAnsiTheme="minorHAnsi"/>
        </w:rPr>
      </w:pPr>
      <w:r>
        <w:rPr>
          <w:rFonts w:eastAsia="Calibri" w:asciiTheme="minorHAnsi" w:hAnsiTheme="minorHAnsi"/>
        </w:rPr>
        <w:t>Expertul evaluator poate să solicite informații suplimentare în etapa de verificare a eligibilității, dacă este cazul, în următoarele situații :</w:t>
      </w:r>
    </w:p>
    <w:p>
      <w:pPr>
        <w:pStyle w:val="43"/>
        <w:numPr>
          <w:ilvl w:val="0"/>
          <w:numId w:val="8"/>
        </w:numPr>
        <w:spacing w:line="276" w:lineRule="auto"/>
        <w:jc w:val="both"/>
        <w:rPr>
          <w:rFonts w:eastAsia="Calibri"/>
          <w:sz w:val="24"/>
          <w:szCs w:val="24"/>
        </w:rPr>
      </w:pPr>
      <w:r>
        <w:rPr>
          <w:rFonts w:eastAsia="Calibri"/>
          <w:sz w:val="24"/>
          <w:szCs w:val="24"/>
        </w:rPr>
        <w:t>informațiile prezentate sunt insuficiente pentru clarificarea unor criterii de eligiblitate;</w:t>
      </w:r>
    </w:p>
    <w:p>
      <w:pPr>
        <w:pStyle w:val="43"/>
        <w:numPr>
          <w:ilvl w:val="0"/>
          <w:numId w:val="8"/>
        </w:numPr>
        <w:spacing w:line="276" w:lineRule="auto"/>
        <w:jc w:val="both"/>
        <w:rPr>
          <w:rFonts w:eastAsia="Calibri"/>
          <w:sz w:val="24"/>
          <w:szCs w:val="24"/>
        </w:rPr>
      </w:pPr>
      <w:r>
        <w:rPr>
          <w:rFonts w:eastAsia="Calibri"/>
          <w:sz w:val="24"/>
          <w:szCs w:val="24"/>
        </w:rPr>
        <w:t>prezentarea  unor  informații  contradictorii  în  cadrul  documentelor  aferente  cererii  de finanțare;</w:t>
      </w:r>
    </w:p>
    <w:p>
      <w:pPr>
        <w:pStyle w:val="43"/>
        <w:numPr>
          <w:ilvl w:val="0"/>
          <w:numId w:val="8"/>
        </w:numPr>
        <w:spacing w:line="276" w:lineRule="auto"/>
        <w:jc w:val="both"/>
        <w:rPr>
          <w:rFonts w:eastAsia="Calibri"/>
          <w:sz w:val="24"/>
          <w:szCs w:val="24"/>
        </w:rPr>
      </w:pPr>
      <w:r>
        <w:rPr>
          <w:rFonts w:eastAsia="Calibri"/>
          <w:sz w:val="24"/>
          <w:szCs w:val="24"/>
        </w:rPr>
        <w:t>necesitatea   prezentării   unor   documente   suplimentare   fără   înlocuirea   documentelor</w:t>
      </w:r>
    </w:p>
    <w:p>
      <w:pPr>
        <w:pStyle w:val="43"/>
        <w:numPr>
          <w:ilvl w:val="0"/>
          <w:numId w:val="8"/>
        </w:numPr>
        <w:spacing w:line="276" w:lineRule="auto"/>
        <w:jc w:val="both"/>
        <w:rPr>
          <w:rFonts w:eastAsia="Calibri"/>
          <w:sz w:val="24"/>
          <w:szCs w:val="24"/>
        </w:rPr>
      </w:pPr>
      <w:r>
        <w:rPr>
          <w:rFonts w:eastAsia="Calibri"/>
          <w:sz w:val="24"/>
          <w:szCs w:val="24"/>
        </w:rPr>
        <w:t>obligatorii la depunerea cererii de finanțare;</w:t>
      </w:r>
    </w:p>
    <w:p>
      <w:pPr>
        <w:pStyle w:val="43"/>
        <w:numPr>
          <w:ilvl w:val="0"/>
          <w:numId w:val="8"/>
        </w:numPr>
        <w:spacing w:line="276" w:lineRule="auto"/>
        <w:jc w:val="both"/>
      </w:pPr>
      <w:r>
        <w:rPr>
          <w:rFonts w:eastAsia="Calibri"/>
          <w:sz w:val="24"/>
          <w:szCs w:val="24"/>
        </w:rPr>
        <w:t>necesitatea corectării bugetului indicativ.</w:t>
      </w:r>
    </w:p>
    <w:p>
      <w:pPr>
        <w:spacing w:line="276" w:lineRule="auto"/>
        <w:jc w:val="both"/>
        <w:rPr>
          <w:rFonts w:eastAsia="Calibri" w:asciiTheme="minorHAnsi" w:hAnsiTheme="minorHAnsi"/>
        </w:rPr>
      </w:pPr>
      <w:r>
        <w:rPr>
          <w:rFonts w:eastAsia="Calibri" w:asciiTheme="minorHAnsi" w:hAnsiTheme="minorHAnsi"/>
        </w:rPr>
        <w:t>In situatia in care exista criterii de eligibilitate care necesita clarificari suplimentare, va fi intocmita o Fisa de solicitare a informatiilor suplimentare, prin care se va solicita prezentarea de informatii si documente suplimentare. In urma verificarii eligibilitatii va fi completata fisa de verificare a eligibilitatii.</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Solicitările de  informații  suplimentare  pot  fi  adresate,  ca  regulă  generală,  o singură dată. Termenul de răspuns la solicitarea de informații suplimentare nu poate depăși 5 (cinci) zile lucratoare începând cu ziua următoare de la primirea formularului de către solicitant. În situații excepționale, se pot solicita și alte clarificări, a căror necesitate a apărut ulterior transmiterii răspunsului la informațiile suplimentare solicitate inițial.</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După finalizarea verificărilor de către experți pot apărea diferențe de rezultat al verificării între experți. În cazul în care se constată diferențe între evaluarea făcută de expertul evaluator 1 (2 ochi) și cea făcută de expertul evaluator 2 (4 ochi), acestea se mediază de către Managerul GAL, decizia sa fiind finală. Decizia finală luată în procesul de mediere va fi justificată prin menționarea argumentelor relevante în cadrul rubricii Observații a formularului „ Fișa de verificare a eligibilitatii proiectului”.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Exemplarul copie al Cererilor de finanțare, care au fost declarate neeligibile de către GAL, se restituie solicitanților (la cerere),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Exemplarul original al Cererii de finanțare declarată neeligibilă va rămâne la GAL, pentru eventuale verificări ulterioare (Audit, DCA, Curtea de Conturi, eventuale contestații etc.).</w:t>
      </w: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b/>
        </w:rPr>
        <w:pict>
          <v:group id="Group 6" o:spid="_x0000_s1033" o:spt="203" style="position:absolute;left:0pt;margin-left:70.55pt;margin-top:0.55pt;height:16.9pt;width:488.95pt;mso-position-horizontal-relative:page;z-index:-251648000;mso-width-relative:page;mso-height-relative:page;" coordorigin="1412,12" coordsize="9779,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">
            <o:lock v:ext="edit"/>
            <v:shape id="Freeform 7" o:spid="_x0000_s1034" style="position:absolute;left:1412;top:12;height:338;width:9779;" fillcolor="#C5D9F0" filled="t" stroked="f" coordsize="977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" path="m0,338l9779,338,9779,0,0,0,0,338xe">
              <v:path arrowok="t" o:connecttype="custom" o:connectlocs="0,350;9779,350;9779,12;0,12;0,350" o:connectangles="0,0,0,0,0"/>
              <v:fill on="t" focussize="0,0"/>
              <v:stroke on="f"/>
              <v:imagedata o:title=""/>
              <o:lock v:ext="edit"/>
            </v:shape>
          </v:group>
        </w:pict>
      </w:r>
      <w:r>
        <w:rPr>
          <w:rFonts w:eastAsia="Calibri" w:asciiTheme="minorHAnsi" w:hAnsiTheme="minorHAnsi"/>
          <w:b/>
        </w:rPr>
        <w:t>4.5 Verificareacriteriilor de selecţie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Principiile de selecție vor fi preluate din fișa tehnică a măsurii din SDL aprobată de către DGDR AM PNDR. Pe baza acestora, în cadrul ghidurilor solicitantului vor fi formulate criterii de selecţie adecvate si punctajul aferent fiecărui criteriu.</w:t>
      </w:r>
    </w:p>
    <w:p>
      <w:pPr>
        <w:spacing w:line="276" w:lineRule="auto"/>
        <w:jc w:val="both"/>
        <w:rPr>
          <w:rFonts w:asciiTheme="minorHAnsi" w:hAnsiTheme="minorHAnsi"/>
        </w:rPr>
      </w:pPr>
    </w:p>
    <w:p>
      <w:pPr>
        <w:spacing w:line="276" w:lineRule="auto"/>
        <w:jc w:val="both"/>
        <w:rPr>
          <w:rFonts w:asciiTheme="minorHAnsi" w:hAnsiTheme="minorHAnsi"/>
        </w:rPr>
      </w:pPr>
      <w:r>
        <w:rPr>
          <w:rFonts w:eastAsia="Calibri" w:asciiTheme="minorHAnsi" w:hAnsiTheme="minorHAnsi"/>
        </w:rPr>
        <w:t xml:space="preserve">Punctajele acordate fiecărui criteriu de selecție, punctajul minim pentru selectarea unui proiect și metodologia de punctare  se stabilesc  de  către  GAL,  conform  importanței  lor,  permițând ierarhizarea cererilor de finanțare și derularea corespunzătoare a activității de evaluare/selectare.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funcţie de sistemul de punctaj stabilit, se efectuează evaluarea criteriilor de selecţie pentru toate Cererile de finanţare eligibile prin acordarea unui număr de puncte şi se calculează scorul atribuit fiecărui proiect.</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GAL va specifica clar criteriile de selecţie şi punctajul maxim acordat pentru fiecare criteriu în parte. GAL va stabili un punctaj minim pe proiect, obligatoriu de obţinut pentru ca un proiect să fie selectat.</w:t>
      </w:r>
    </w:p>
    <w:p>
      <w:pPr>
        <w:spacing w:line="276" w:lineRule="auto"/>
        <w:jc w:val="both"/>
        <w:rPr>
          <w:rFonts w:eastAsia="Calibri" w:asciiTheme="minorHAnsi" w:hAnsiTheme="minorHAnsi"/>
        </w:rPr>
      </w:pPr>
      <w:r>
        <w:rPr>
          <w:rFonts w:eastAsia="Calibri" w:asciiTheme="minorHAnsi" w:hAnsiTheme="minorHAnsi"/>
        </w:rPr>
        <w:t>Punctajul minim necesar in vederea admiterii la finantare pentru fiecare masura este cel stabilit prin intermediul Ghidului Solicitantului aferent fiecarei masuri din SDL.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proiectele declarate eligibile, verificarea criteriilor de selectie a proiectului se realizează la nivelul GAL conform formularului „ Fișa de verificare a criteriilor de selecţie a proiectului” aferent fiecărei măsuri din SDL şi anexă la Ghidul Solicitantului.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GAL poate să solicite beneficiarului clarificări referitoare la îndeplinirea criteriilor de selecţie, dacă este cazul.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Solicitările de  informații  suplimentare  pot  fi  adresate,  ca  regulă  generală,  o singură dată. Termenul de răspuns la solicitarea de informații suplimentare nu poate depăși 5 (cinci) zile lucratoare începând cu ziua următoare de la primirea formularului de către solicitant. În situații excepționale, se pot solicita și alte clarificări, a căror necesitate a apărut ulterior transmiterii răspunsului la informațiile suplimentare solicitate inițial.</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b/>
        </w:rPr>
        <w:pict>
          <v:group id="Group 4" o:spid="_x0000_s1031" o:spt="203" style="position:absolute;left:0pt;margin-left:70.55pt;margin-top:0.55pt;height:16.8pt;width:488.95pt;mso-position-horizontal-relative:page;z-index:-251646976;mso-width-relative:page;mso-height-relative:page;" coordorigin="1412,11" coordsize="9779,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">
            <o:lock v:ext="edit"/>
            <v:shape id="Freeform 5" o:spid="_x0000_s1032" style="position:absolute;left:1412;top:11;height:336;width:9779;" fillcolor="#C5D9F0" filled="t" stroked="f" coordsize="977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" path="m0,337l9779,337,9779,0,0,0,0,337xe">
              <v:path arrowok="t" o:connecttype="custom" o:connectlocs="0,348;9779,348;9779,11;0,11;0,348" o:connectangles="0,0,0,0,0"/>
              <v:fill on="t" focussize="0,0"/>
              <v:stroke on="f"/>
              <v:imagedata o:title=""/>
              <o:lock v:ext="edit"/>
            </v:shape>
          </v:group>
        </w:pict>
      </w:r>
      <w:r>
        <w:rPr>
          <w:rFonts w:eastAsia="Calibri" w:asciiTheme="minorHAnsi" w:hAnsiTheme="minorHAnsi"/>
          <w:b/>
        </w:rPr>
        <w:t>4.6 Aspecte generale referitoare la evaluarea proiectelor</w:t>
      </w:r>
    </w:p>
    <w:p>
      <w:pPr>
        <w:spacing w:line="276" w:lineRule="auto"/>
        <w:jc w:val="both"/>
        <w:rPr>
          <w:rFonts w:eastAsia="Calibri" w:asciiTheme="minorHAnsi" w:hAnsiTheme="minorHAnsi"/>
        </w:rPr>
      </w:pPr>
      <w:bookmarkStart w:id="4" w:name="_Toc503861721"/>
    </w:p>
    <w:p>
      <w:pPr>
        <w:spacing w:line="276" w:lineRule="auto"/>
        <w:jc w:val="both"/>
        <w:rPr>
          <w:rFonts w:eastAsia="Calibri" w:asciiTheme="minorHAnsi" w:hAnsiTheme="minorHAnsi"/>
        </w:rPr>
      </w:pPr>
      <w:r>
        <w:rPr>
          <w:rFonts w:eastAsia="Calibri" w:asciiTheme="minorHAnsi" w:hAnsiTheme="minorHAnsi"/>
        </w:rPr>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Codificarea specifică a Cererii de Finanțare nu intră în atribuțiile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Fişele de verificare ale conformităţii, eligibilităţii şi a criteriilor de selecţie trebuie să fie datate şi să prezinte numele şi semnătura a doi angajaţi GAL implicaţi în procesul de evaluare a proiectelor.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Toate verificările efectuate de către evaluatori vor respecta principiul de verificare “4 ochi”, respectiv vor fi semnate de către doi experți evaluatori angajați în cadrul GAL. În situația în care GAL este beneficiar (al unor operațiuni ce vizează infrastructură socială), verificarea se va realiza de către experții entității către care au fost externalizate serviciile de evaluare, cu respectarea principiului ”4 ochi”.</w:t>
      </w:r>
    </w:p>
    <w:p>
      <w:pPr>
        <w:pStyle w:val="2"/>
      </w:pPr>
      <w:r>
        <w:t>5. SELECŢIA INTERMEDIARĂ A PROIECTELOR</w:t>
      </w:r>
      <w:bookmarkEnd w:id="4"/>
    </w:p>
    <w:p>
      <w:pPr>
        <w:spacing w:line="276" w:lineRule="auto"/>
        <w:jc w:val="both"/>
        <w:rPr>
          <w:rFonts w:asciiTheme="minorHAnsi" w:hAnsiTheme="minorHAnsi"/>
        </w:rPr>
      </w:pPr>
    </w:p>
    <w:p>
      <w:pPr>
        <w:pStyle w:val="46"/>
        <w:spacing w:before="235" w:line="360" w:lineRule="auto"/>
        <w:rPr>
          <w:rFonts w:cs="Calibri" w:asciiTheme="minorHAnsi" w:hAnsiTheme="minorHAnsi"/>
          <w:lang w:val="ro-RO" w:eastAsia="ro-RO"/>
        </w:rPr>
      </w:pPr>
      <w:r>
        <w:rPr>
          <w:rFonts w:eastAsia="Calibri" w:asciiTheme="minorHAnsi" w:hAnsiTheme="minorHAnsi"/>
        </w:rPr>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r>
        <w:rPr>
          <w:rFonts w:cs="Calibri" w:asciiTheme="minorHAnsi" w:hAnsiTheme="minorHAnsi"/>
          <w:lang w:val="ro-RO" w:eastAsia="ro-RO"/>
        </w:rPr>
        <w:t>Pentru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Atenție! Este posibilă combinarea mijloacelor de întrunire a Comitetului de selecție, în funcție de modalitatea de participare a membrilor Comitetului de selecție.</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realizarea selecţiei proiectelor se analizează dacă valoarea publică, exprimată în euro, a proiectelor eligibile ce întrunesc pragul minim, este situată sub sau peste valoarea totală alocată unei măsuri în cadrul sesiunii de depunere.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Când valoarea publică totală a proiectelor eligibile care au îndeplinit punctajul minim, se situează sub valoarea totală alocată unei măsuri în cadrul unei sesiuni de depunere, Comitetul de Selecţie propune aprobarea pentru finanţare a tuturor proiectelor eligibile care au întrunit punctajul minim aferent acestor măsuri.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Când valoarea publică totală a proiectelor eligibile care au îndeplinit punctajul minim se situează peste valoarea totală alocată unei măsuri în cadrul unei sesiuni, Comitetul de Selecţie analizează listele proiectelor eligibile care au îndeplinit punctajul minim, iar Selecţia se face în ordinea descrescătoare a punctajului de selecţie.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În cazul proiectelor cu acelaşi punctaj, departajarea acestora se face în funcţie de prevederile stipulate in Ghidul Solicitantului pentru fiecare masura in parte. </w:t>
      </w:r>
    </w:p>
    <w:p>
      <w:pPr>
        <w:spacing w:line="276" w:lineRule="auto"/>
        <w:jc w:val="both"/>
        <w:rPr>
          <w:rFonts w:eastAsia="Calibri" w:asciiTheme="minorHAnsi" w:hAnsiTheme="minorHAnsi"/>
        </w:rPr>
      </w:pPr>
      <w:r>
        <w:rPr>
          <w:rFonts w:eastAsia="Calibri" w:asciiTheme="minorHAnsi" w:hAnsiTheme="minorHAnsi"/>
        </w:rPr>
        <w:t>Proiectele al caror punctaj, in urma evaluarii GAL, scade sub pragul minim de selectie impus prin Ghidul Solicitantului vor fi declarate respinse.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In termen de 10 zile încheierea procesului de evaluare şi selecţie şi după caz, a celei de departajare, Comitetul de Selecţie a Proiectelor va emite un Raport de Selecţie, în care vor fi înscrise proiectele retrase, respinse, neeligibile, eligibile neselectate   şi   eligibile selectate, valoarea acestora, numele solicitanţilor, iar pentru proiectele eligibile punctajul obţinut pentru fiecare criteriu de selecţie.</w:t>
      </w:r>
    </w:p>
    <w:p>
      <w:pPr>
        <w:spacing w:line="276" w:lineRule="auto"/>
        <w:jc w:val="both"/>
        <w:rPr>
          <w:rFonts w:eastAsia="Calibri" w:asciiTheme="minorHAnsi" w:hAnsiTheme="minorHAnsi"/>
        </w:rPr>
      </w:pPr>
    </w:p>
    <w:p>
      <w:pPr>
        <w:spacing w:line="276" w:lineRule="auto"/>
        <w:jc w:val="both"/>
        <w:rPr>
          <w:rFonts w:eastAsia="Calibri" w:asciiTheme="minorHAnsi" w:hAnsiTheme="minorHAnsi"/>
          <w:bCs/>
          <w:lang w:val="ro-RO"/>
        </w:rPr>
      </w:pPr>
      <w:r>
        <w:rPr>
          <w:rFonts w:eastAsia="Calibri" w:asciiTheme="minorHAnsi" w:hAnsiTheme="minorHAnsi"/>
          <w:lang w:val="ro-RO"/>
        </w:rPr>
        <w:t>Proiectele</w:t>
      </w:r>
      <w:r>
        <w:rPr>
          <w:rFonts w:eastAsia="Calibri" w:asciiTheme="minorHAnsi" w:hAnsiTheme="minorHAnsi"/>
        </w:rPr>
        <w:t xml:space="preserve"> eligibile neselectate se vor mentiona </w:t>
      </w:r>
      <w:r>
        <w:rPr>
          <w:rFonts w:eastAsia="Calibri" w:asciiTheme="minorHAnsi" w:hAnsiTheme="minorHAnsi"/>
          <w:lang w:val="ro-RO"/>
        </w:rPr>
        <w:t xml:space="preserve">in cadrul unei liste cu proiecte în așteptare </w:t>
      </w:r>
      <w:r>
        <w:rPr>
          <w:rFonts w:eastAsia="Calibri" w:asciiTheme="minorHAnsi" w:hAnsiTheme="minorHAnsi"/>
          <w:bCs/>
          <w:lang w:val="ro-RO"/>
        </w:rPr>
        <w:t>întocmită pe baza ierarhizării acestora și cu aplicarea criteriilor de departajare</w:t>
      </w:r>
      <w:r>
        <w:rPr>
          <w:rFonts w:eastAsia="Calibri" w:asciiTheme="minorHAnsi" w:hAnsiTheme="minorHAnsi"/>
          <w:lang w:val="ro-RO"/>
        </w:rPr>
        <w:t xml:space="preserve">, urmand ca in cazul </w:t>
      </w:r>
      <w:r>
        <w:rPr>
          <w:rFonts w:eastAsia="Calibri" w:asciiTheme="minorHAnsi" w:hAnsiTheme="minorHAnsi"/>
          <w:bCs/>
          <w:lang w:val="ro-RO"/>
        </w:rPr>
        <w:t>constituirii  de fonduri disponibile, inclusiv prin realocări financiare aprobate, acestea sa poata fi finanțate prin intocmirea unui Raport de Selectie suplimentar. Mențiunea de mai sus nu se aplică în cazul în care pentru respectiva măsură va mai fi lansată o nouă sesiune de depunere proiecte. În acest caz, proiectele cuprinse în lista de așteptare pot fi retrase și redepuse la următorul apel de selecție, în vederea evaluării și selecției.</w:t>
      </w:r>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rPr>
        <w:t>Rezultatele procesului de selecție se consemnează în Raportul de selecție. Acesta va fi semnat și aprobat de către toți membrii prezenți ai Comitetului de Selecție, 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pPr>
        <w:spacing w:line="276" w:lineRule="auto"/>
        <w:jc w:val="both"/>
        <w:rPr>
          <w:rFonts w:asciiTheme="minorHAnsi" w:hAnsiTheme="minorHAnsi"/>
        </w:rPr>
      </w:pPr>
      <w:r>
        <w:rPr>
          <w:rFonts w:asciiTheme="minorHAnsi" w:hAnsiTheme="minorHAnsi"/>
        </w:rPr>
        <w:t>Atenție! Nu este permisă semnarea unui document utilizând atât semnătura electronică, cât și semnătura olografă, în vederea avizării Raportului de Selecție.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GAL va înştiinţa solicitanţii asupra rezultatelor procesului de evaluare şi selecţie prin publicarea pe</w:t>
      </w:r>
    </w:p>
    <w:p>
      <w:pPr>
        <w:spacing w:line="276" w:lineRule="auto"/>
        <w:jc w:val="both"/>
        <w:rPr>
          <w:rFonts w:eastAsia="Calibri" w:asciiTheme="minorHAnsi" w:hAnsiTheme="minorHAnsi"/>
        </w:rPr>
      </w:pPr>
      <w:r>
        <w:rPr>
          <w:rFonts w:eastAsia="Calibri" w:asciiTheme="minorHAnsi" w:hAnsiTheme="minorHAnsi"/>
        </w:rPr>
        <w:t>pagina proprie de web a Raportului de Selecţie.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baza acestuia, GAL va transmite rezultatele selecţiei către solicitanţi. Solicitanţii ale căror cereri de finanţare au fost selectate/ neselectate vor fi notificaţi de către GAL privind rezultatul verificării cererilor de finanțare.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Notificările vor fi transmise de GAL prin fax/posta/email/personal, cu confirmare de primire din partea solicitanţilor. Notificările transmise solicitanţilor trebuie să conţină motivele pentru care proiectele nu au fost selectate – se vor menţiona criteriile de eligibilitate care nu au fost îndeplinite sau punctajul obţinut pentru fiecare criteriu de selecţie – precum şi perioada de depunere şi soluţionare a contestaţiilor.</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In cazul in care nu vor exista contestatii, Raportul de Selectie va fi considerat rezultat final al procesului de evaluare si selectie, nemaifiind necesara parcurgerea pasilor descrisi in cadrul sectiunilor</w:t>
      </w:r>
      <w:r>
        <w:rPr>
          <w:rFonts w:eastAsia="Calibri" w:asciiTheme="minorHAnsi" w:hAnsiTheme="minorHAnsi"/>
          <w:b/>
          <w:i/>
        </w:rPr>
        <w:t xml:space="preserve"> 6. “Soluţionarea contestaţiilor cu privire la rezultatul evaluării proiectelor</w:t>
      </w:r>
      <w:r>
        <w:rPr>
          <w:rFonts w:eastAsia="Calibri" w:asciiTheme="minorHAnsi" w:hAnsiTheme="minorHAnsi"/>
        </w:rPr>
        <w:t>”si</w:t>
      </w:r>
      <w:r>
        <w:rPr>
          <w:rFonts w:eastAsia="Calibri" w:asciiTheme="minorHAnsi" w:hAnsiTheme="minorHAnsi"/>
          <w:b/>
          <w:i/>
        </w:rPr>
        <w:t xml:space="preserve"> 7. “Selecţia finală a proiectelor</w:t>
      </w:r>
      <w:r>
        <w:rPr>
          <w:rFonts w:eastAsia="Calibri" w:asciiTheme="minorHAnsi" w:hAnsiTheme="minorHAnsi"/>
        </w:rPr>
        <w:t>”, in termen de 3 zile lucrătoare de la aprobarea Raportului de Selecţie, GAL urmand a notifica solicitanţii asupra rezultatelor finale ale procesului de evaluare şi selecţie.</w:t>
      </w:r>
    </w:p>
    <w:p>
      <w:pPr>
        <w:spacing w:line="276" w:lineRule="auto"/>
        <w:jc w:val="both"/>
        <w:rPr>
          <w:rFonts w:eastAsia="Calibri" w:asciiTheme="minorHAnsi" w:hAnsiTheme="minorHAnsi"/>
          <w:b/>
          <w:i/>
        </w:rPr>
      </w:pPr>
    </w:p>
    <w:p>
      <w:pPr>
        <w:spacing w:line="276" w:lineRule="auto"/>
        <w:jc w:val="both"/>
        <w:rPr>
          <w:rFonts w:eastAsia="Calibri" w:asciiTheme="minorHAnsi" w:hAnsiTheme="minorHAnsi"/>
        </w:rPr>
      </w:pPr>
      <w:r>
        <w:rPr>
          <w:rFonts w:eastAsia="Calibri" w:asciiTheme="minorHAnsi" w:hAnsiTheme="minorHAnsi"/>
        </w:rPr>
        <w:t>In cazul in care toate proiectele conforme depuse in cadrul apelului de selectie au fost declarate selectate, Raportul de Selectie va fi considerat rezultat final al procesului de evaluare si selectie, nemaifiind necesara parcurgerea pasilor descrisi in cadrul sectiunilor</w:t>
      </w:r>
      <w:r>
        <w:rPr>
          <w:rFonts w:eastAsia="Calibri" w:asciiTheme="minorHAnsi" w:hAnsiTheme="minorHAnsi"/>
          <w:b/>
          <w:i/>
        </w:rPr>
        <w:t xml:space="preserve"> 6. “Soluţionarea contestaţiilor cu privire la rezultatul evaluării proiectelor</w:t>
      </w:r>
      <w:r>
        <w:rPr>
          <w:rFonts w:eastAsia="Calibri" w:asciiTheme="minorHAnsi" w:hAnsiTheme="minorHAnsi"/>
        </w:rPr>
        <w:t>”si</w:t>
      </w:r>
      <w:r>
        <w:rPr>
          <w:rFonts w:eastAsia="Calibri" w:asciiTheme="minorHAnsi" w:hAnsiTheme="minorHAnsi"/>
          <w:b/>
          <w:i/>
        </w:rPr>
        <w:t xml:space="preserve"> 7. “Selecţia finală a proiectelor</w:t>
      </w:r>
      <w:r>
        <w:rPr>
          <w:rFonts w:eastAsia="Calibri" w:asciiTheme="minorHAnsi" w:hAnsiTheme="minorHAnsi"/>
        </w:rPr>
        <w:t>”, inclusiv a transmiterii notificarilor solicitantilor privind rezultatul intermediar si asteptarii perioadei de primire si solutionare a contestatiilor. In termen de 3 zile lucrătoare de la aprobarea Raportului de Selecţie, GAL va notifica solicitanţii asupra rezultatelor finale ale procesului de evaluare şi selecţie, fara a mai fi necesara transmiterea notificarilor solicitantilor privind rezultatul intermediar al evaluarii  asa cum a fost detaliat mai sus.</w:t>
      </w:r>
    </w:p>
    <w:p>
      <w:pPr>
        <w:spacing w:line="276" w:lineRule="auto"/>
        <w:jc w:val="both"/>
        <w:rPr>
          <w:rFonts w:eastAsia="Calibri" w:asciiTheme="minorHAnsi" w:hAnsiTheme="minorHAnsi"/>
        </w:rPr>
      </w:pPr>
    </w:p>
    <w:p>
      <w:pPr>
        <w:pStyle w:val="2"/>
      </w:pPr>
      <w:bookmarkStart w:id="5" w:name="_Toc508176470"/>
      <w:r>
        <w:t>6. SOLUŢIONAREA CONTESTAŢIILOR CU PRIVIRE LA REZULTATUL EVALUĂRII PROIECTELOR</w:t>
      </w:r>
      <w:bookmarkEnd w:id="5"/>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Solicitanții ale căror proiecte au fost declarate neeligibile sau respinse sau au fost declarate eligibile și neselectate, pot depune contestații la sediul GAL în maximum 5 zile lucrătoare de la data primirii notificării (data luării la cunoștință de către solicitant).</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Un solicitant poate depune o singură contestație  aferentă  unui  proiect.  Vor fi considerate contestații și analizate doar acele solicitări care contestă elemente tehnice sau legale de eligibilitatea proiectului depus, punctarea unei/ unor criterii de selectie, stabilirea valorii cuantumului criteriilor de departajare, valoarea proiectului declarată eligibilă/valoarea sau intensitatea sprijinului public acordat pentru proiectul depus.</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Contestaţiile, semnate de reprezentantul legal al solicitantului, vor fi depuse la secretariatul GAL, personal.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Contestaţiileprimitevor fi analizate de către o Comisie de Soluţionare a Contestaţiilorînfiinţată la nivelul GAL înacestsens, care va fi compusă din altepersoanefaţă de cele care au făcutparte din Comitetul de Contestaţiile primite vor fi analizate de către o Comisie de Soluţionare a Contestaţiilor înfiinţată la nivelul GAL în acest sens, care va fi compusă din alte persoane faţă de cele care au făcut parte din Comitetul de Selecţie a Proiectelor.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Comisia de Soluţionare a Contestaţiilor este convocată la propunerea managerului GAL, în termen de maximum 3 zile lucrătoare de la primirea situaţiei privind contestaţiile depuse. Experţii GAL vor pune la dispoziţia Comisiei toate documentele necesare în vederea reevaluării proiectelor contestate.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situaţia în care sunt identificate aspecte tehnice sau juridice care trebuie clarificate şi care necesită o opinie de specialitate care excede sfera de competenţă a membrilor Comisiei, se poate solicita în scris punctul de vedere al unui expert, acesta având un rol consultativ.</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Comisia de Soluţionare a Contestaţiilor va analiza doar proiectele care au făcut obiectul contestaţiilor. Procedura de evaluare va fi aceeaşi care a stat la baza evaluării şi scorării proiectului, respectiv de către Comitetul de Selecţie. Termenul de evaluare a tuturor contestaţiilor depuse este de maximum 10 zile lucrătoare de la depunerea contestaţiei/înregistrarea ei la GAL şi include notificarea solicitantului.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urma soluţionării eventualelor contestaţii, Comisia de Soluţionare a Contestaţiilor,in termen de 10 zile, va elabora un Raport de Contestaţii, care va fi semnat de către toţi membrii Comisiei şi va fi înaintat Comitetului de Selecţie şi managerului GAL pentru a fi postat pe website cel târziu în ziua imediat următoare aprobării şi transmiterii lui. După apariţia raportului de soluţionare a contestaţiilor pe site-ul GAL, soluţia rămâne definitivă.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GAL este responsabil cu ducerea la îndeplinire a prevederilor Raportului de Contestaţii şi de notificarea solicitanţilor în termen de 5 zile lucrătoare de la primirea acestuia. Un expert va transmite (pe fax/poștă/e-mail/personal, cu confirmare de primire) solicitantului formularul Notificarea solicitantului privind contestația depusă și o copie a Raportului de contestații.</w:t>
      </w:r>
    </w:p>
    <w:p>
      <w:pPr>
        <w:spacing w:line="276" w:lineRule="auto"/>
        <w:jc w:val="both"/>
        <w:rPr>
          <w:rFonts w:asciiTheme="minorHAnsi" w:hAnsiTheme="minorHAnsi"/>
        </w:rPr>
      </w:pPr>
    </w:p>
    <w:p>
      <w:pPr>
        <w:spacing w:line="276" w:lineRule="auto"/>
        <w:jc w:val="both"/>
        <w:rPr>
          <w:rFonts w:eastAsia="Calibri" w:asciiTheme="minorHAnsi" w:hAnsiTheme="minorHAnsi"/>
        </w:rPr>
      </w:pPr>
      <w:bookmarkStart w:id="6" w:name="_Toc503861723"/>
      <w:r>
        <w:rPr>
          <w:rFonts w:eastAsia="Calibri" w:asciiTheme="minorHAnsi" w:hAnsiTheme="minorHAnsi"/>
        </w:rPr>
        <w:t>Membrii Comisiei de Soluţionare a Contestaţiilor vor comunica managerului GAL, în format electronic şi pe suport de hârtie, documentele necesare pentru completarea dosarelor administrative ale proiectelor, respectiv: copie a Raportului de contestaţii, copie a Minutei semnate de Comisia de contestaţii, copii dupa alte documente întocmite de Comisie, după caz.</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Dacă pe parcursul desfășurării procesului de evaluare, precum și de soluționare a contestațiilor, se constată greșeli de orice natură, GAL Platoul Mehedintiare obligația de a cerceta cauzele producerii acestora, de a identifica persoanele culpabile și motivele obiective care au condus la aceste abateri pentru a putea analiza și eventual dispune măsurile administrative corespunzătoare, dacă se impun.</w:t>
      </w:r>
    </w:p>
    <w:p>
      <w:pPr>
        <w:spacing w:line="276" w:lineRule="auto"/>
        <w:rPr>
          <w:rFonts w:eastAsia="Calibri" w:asciiTheme="minorHAnsi" w:hAnsiTheme="minorHAnsi"/>
        </w:rPr>
        <w:sectPr>
          <w:pgSz w:w="12240" w:h="15840"/>
          <w:pgMar w:top="1720" w:right="940" w:bottom="280" w:left="1300" w:header="427" w:footer="861" w:gutter="0"/>
          <w:cols w:space="720" w:num="1"/>
        </w:sectPr>
      </w:pPr>
    </w:p>
    <w:p>
      <w:pPr>
        <w:pStyle w:val="2"/>
      </w:pPr>
      <w:r>
        <w:t>7. SELECŢIA FINALĂ A PROIECTELOR</w:t>
      </w:r>
      <w:bookmarkEnd w:id="6"/>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In situatia in care au fost formulate contestatii, in termen de maxim 5 zile lucrătoare de la data postării pe site-ul GAL a Raportului de contestaţii, Comitetului de Selecţie a Proiectelor se reuneşte şi validează Raportul de Selecţie Final, cu exceptia situatiei in care nu au existat contestatii sau in cazul in care toate proiectele conforme depuse in cadrul apelului de selectie au fost declarate selectate in cadrul sedintei de evaluare intermediara.</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Raportul de Selecţie Final este elaborat în baza Raportului de selecţie revizuit conform rezultatelor din Raportul de Contestaţii.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Raportul de Selecţie Final vor fi înscrise proiectele retrase, respinse, neeligibile, eligibile neselectate şi eligibile selectate, valoarea acestora, numele solicitanţilor, iar pentru proiectele eligibile punctajul obţinut pentru fiecare criteriu de selecţie. În Raportul de Selecţie Final vor fi evidenţiate proiectele declarate eligibile sau selectate în baza soluţionării contestaţiilor.</w:t>
      </w:r>
    </w:p>
    <w:p>
      <w:pPr>
        <w:spacing w:line="276" w:lineRule="auto"/>
        <w:jc w:val="both"/>
        <w:rPr>
          <w:rFonts w:asciiTheme="minorHAnsi" w:hAnsiTheme="minorHAnsi"/>
        </w:rPr>
      </w:pPr>
    </w:p>
    <w:p>
      <w:pPr>
        <w:spacing w:after="120" w:line="276" w:lineRule="auto"/>
        <w:jc w:val="both"/>
        <w:rPr>
          <w:rFonts w:asciiTheme="minorHAnsi" w:hAnsiTheme="minorHAnsi" w:cstheme="minorHAnsi"/>
        </w:rPr>
      </w:pPr>
      <w:r>
        <w:rPr>
          <w:rFonts w:eastAsia="Calibri" w:asciiTheme="minorHAnsi" w:hAnsiTheme="minorHAnsi"/>
        </w:rPr>
        <w:t>Raportul de SelecţieFinal va fi semnat</w:t>
      </w:r>
      <w:r>
        <w:rPr>
          <w:rFonts w:asciiTheme="minorHAnsi" w:hAnsiTheme="minorHAnsi" w:cstheme="minorHAnsi"/>
        </w:rPr>
        <w:t xml:space="preserve">și aprobat </w:t>
      </w:r>
      <w:r>
        <w:rPr>
          <w:rFonts w:eastAsia="Calibri" w:asciiTheme="minorHAnsi" w:hAnsiTheme="minorHAnsi" w:cstheme="minorHAnsi"/>
        </w:rPr>
        <w:t>de toţimembriiprezenţi ai Comitetului de Selecţie</w:t>
      </w:r>
      <w:r>
        <w:rPr>
          <w:rFonts w:asciiTheme="minorHAnsi" w:hAnsiTheme="minorHAnsi" w:cstheme="minorHAnsi"/>
        </w:rPr>
        <w:t>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GAL va publica Raportul de Selecţie Final pe pagina de web proprie cel târziu în ziua următoare aprobării.</w:t>
      </w:r>
    </w:p>
    <w:p>
      <w:pPr>
        <w:spacing w:line="276" w:lineRule="auto"/>
        <w:jc w:val="both"/>
        <w:rPr>
          <w:rFonts w:eastAsia="Calibri" w:asciiTheme="minorHAnsi" w:hAnsiTheme="minorHAnsi"/>
        </w:rPr>
      </w:pPr>
      <w:r>
        <w:rPr>
          <w:rFonts w:eastAsia="Calibri" w:asciiTheme="minorHAnsi" w:hAnsiTheme="minorHAnsi"/>
        </w:rPr>
        <w:t>În termen de 3 zile lucrătoare de la aprobarea Raportului de Selecţie Final, GAL va notifica solicitanţii asupra rezultatelor procesului de evaluare şi selecţie.</w:t>
      </w:r>
    </w:p>
    <w:p>
      <w:pPr>
        <w:spacing w:line="276" w:lineRule="auto"/>
        <w:jc w:val="both"/>
        <w:rPr>
          <w:rFonts w:eastAsia="Calibri" w:asciiTheme="minorHAnsi" w:hAnsiTheme="minorHAnsi"/>
        </w:rPr>
      </w:pPr>
      <w:r>
        <w:rPr>
          <w:rFonts w:eastAsia="Calibri" w:asciiTheme="minorHAnsi" w:hAnsiTheme="minorHAnsi"/>
        </w:rPr>
        <w:t>Exemplarul copie al Cererilor de finanțare, care au fost declarate neeligibile de către GAL, se restituie solicitanților (la cerere), pe baza unui proces-verbal de restituire, încheiat în 2 exemplare, semnat de ambele părți. Exemplarul original al Cererii de finanțare declarată neeligibilă va rămâne la GAL, pentru eventuale verificări ulterioare (Audit, DCA, Curtea de Conturi, eventuale contestații etc.).</w:t>
      </w:r>
    </w:p>
    <w:p>
      <w:pPr>
        <w:spacing w:line="276" w:lineRule="auto"/>
        <w:jc w:val="both"/>
        <w:rPr>
          <w:rFonts w:eastAsia="Calibri" w:asciiTheme="minorHAnsi" w:hAnsiTheme="minorHAnsi"/>
        </w:rPr>
      </w:pPr>
    </w:p>
    <w:p>
      <w:pPr>
        <w:spacing w:line="276" w:lineRule="auto"/>
        <w:jc w:val="both"/>
        <w:rPr>
          <w:rFonts w:eastAsia="Calibri" w:asciiTheme="minorHAnsi" w:hAnsiTheme="minorHAnsi"/>
          <w:lang w:val="ro-RO"/>
        </w:rPr>
      </w:pPr>
      <w:r>
        <w:rPr>
          <w:rFonts w:eastAsia="Calibri" w:asciiTheme="minorHAnsi" w:hAnsiTheme="minorHAnsi"/>
          <w:lang w:val="ro-RO"/>
        </w:rPr>
        <w:t>Dacă după parcurgerea perioadei de contestații nu intervin modificări în ceea ce privește Raportul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w:t>
      </w:r>
    </w:p>
    <w:p>
      <w:pPr>
        <w:spacing w:line="276" w:lineRule="auto"/>
        <w:jc w:val="both"/>
        <w:rPr>
          <w:rFonts w:eastAsia="Calibri" w:asciiTheme="minorHAnsi" w:hAnsiTheme="minorHAnsi"/>
        </w:rPr>
      </w:pPr>
    </w:p>
    <w:p>
      <w:pPr>
        <w:pStyle w:val="2"/>
      </w:pPr>
      <w:bookmarkStart w:id="7" w:name="_Toc503861724"/>
      <w:r>
        <w:t>8. SELECŢIA SUPLIMENTARA A PROIECTELOR</w:t>
      </w:r>
      <w:bookmarkEnd w:id="7"/>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after="120" w:line="276" w:lineRule="auto"/>
        <w:contextualSpacing/>
        <w:jc w:val="both"/>
        <w:rPr>
          <w:rFonts w:asciiTheme="minorHAnsi" w:hAnsiTheme="minorHAnsi" w:cstheme="minorHAnsi"/>
          <w:b/>
        </w:rPr>
      </w:pPr>
      <w:r>
        <w:rPr>
          <w:rFonts w:asciiTheme="minorHAnsi" w:hAnsiTheme="minorHAnsi" w:cstheme="minorHAnsi"/>
          <w:b/>
        </w:rPr>
        <w:t>Pe una sau mai multe măsuri/componente a măsurilor se pot constituisumedisponibileproveniteca urmare a:</w:t>
      </w:r>
    </w:p>
    <w:p>
      <w:pPr>
        <w:spacing w:after="120" w:line="276" w:lineRule="auto"/>
        <w:contextualSpacing/>
        <w:jc w:val="both"/>
        <w:rPr>
          <w:rFonts w:asciiTheme="minorHAnsi" w:hAnsiTheme="minorHAnsi" w:cstheme="minorHAnsi"/>
          <w:b/>
        </w:rPr>
      </w:pPr>
      <w:r>
        <w:rPr>
          <w:rFonts w:asciiTheme="minorHAnsi" w:hAnsiTheme="minorHAnsi" w:cstheme="minorHAnsi"/>
          <w:b/>
        </w:rPr>
        <w:t xml:space="preserve">Rezilieriicontractelor de finanțare, din economiirealizate la finalizareacontractelor de finanțare, sumeneangajate ca urmare a neîncheieriicontractelor, sumerezultateprindeclararea ca neeligibile la nivelul AFIR a unorproiecteeligibileșiselectate la nivelul GAL, sumerămase neconsumate înurma procesului de selecțiede la nivelul GAL. </w:t>
      </w:r>
    </w:p>
    <w:p>
      <w:pPr>
        <w:spacing w:after="120" w:line="276" w:lineRule="auto"/>
        <w:contextualSpacing/>
        <w:jc w:val="both"/>
        <w:rPr>
          <w:rFonts w:asciiTheme="minorHAnsi" w:hAnsiTheme="minorHAnsi" w:cstheme="minorHAnsi"/>
        </w:rPr>
      </w:pPr>
      <w:r>
        <w:rPr>
          <w:rFonts w:asciiTheme="minorHAnsi" w:hAnsiTheme="minorHAnsi" w:cstheme="minorHAnsi"/>
          <w:b/>
        </w:rPr>
        <w:t>Aceste sume disponibile</w:t>
      </w:r>
      <w:r>
        <w:rPr>
          <w:rFonts w:asciiTheme="minorHAnsi" w:hAnsiTheme="minorHAnsi" w:cstheme="minorHAnsi"/>
        </w:rPr>
        <w:t xml:space="preserve"> pot fi utilizate:</w:t>
      </w:r>
    </w:p>
    <w:p>
      <w:pPr>
        <w:spacing w:after="120" w:line="276" w:lineRule="auto"/>
        <w:contextualSpacing/>
        <w:jc w:val="both"/>
        <w:rPr>
          <w:rFonts w:asciiTheme="minorHAnsi" w:hAnsiTheme="minorHAnsi" w:cstheme="minorHAnsi"/>
        </w:rPr>
      </w:pPr>
      <w:r>
        <w:rPr>
          <w:rFonts w:asciiTheme="minorHAnsi" w:hAnsiTheme="minorHAnsi" w:cstheme="minorHAnsi"/>
        </w:rPr>
        <w:t>A. în cadrul aceleiași măsuri în cadrul căreia se produce disponibilizarea pentru:</w:t>
      </w:r>
    </w:p>
    <w:p>
      <w:pPr>
        <w:spacing w:after="120" w:line="276" w:lineRule="auto"/>
        <w:contextualSpacing/>
        <w:jc w:val="both"/>
        <w:rPr>
          <w:rFonts w:asciiTheme="minorHAnsi" w:hAnsiTheme="minorHAnsi" w:cstheme="minorHAnsi"/>
        </w:rPr>
      </w:pPr>
      <w:r>
        <w:rPr>
          <w:rFonts w:asciiTheme="minorHAnsi" w:hAnsiTheme="minorHAnsi" w:cstheme="minorHAnsi"/>
        </w:rPr>
        <w:t>1. finanțarea proiectelor declarate eligibile și fără finanțare – prin emiterea unui Raport de Selecție suplimentar;</w:t>
      </w:r>
    </w:p>
    <w:p>
      <w:pPr>
        <w:spacing w:after="120" w:line="276" w:lineRule="auto"/>
        <w:contextualSpacing/>
        <w:jc w:val="both"/>
        <w:rPr>
          <w:rFonts w:asciiTheme="minorHAnsi" w:hAnsiTheme="minorHAnsi" w:cstheme="minorHAnsi"/>
        </w:rPr>
      </w:pPr>
      <w:r>
        <w:rPr>
          <w:rFonts w:asciiTheme="minorHAnsi" w:hAnsiTheme="minorHAnsi" w:cstheme="minorHAnsi"/>
        </w:rPr>
        <w:t xml:space="preserve">2. deschiderea unui nou Apel de selecție, inclusiv dacă în urma apelului anterior a fost emis Raport Suplimentar. </w:t>
      </w:r>
    </w:p>
    <w:p>
      <w:pPr>
        <w:spacing w:after="120" w:line="276" w:lineRule="auto"/>
        <w:contextualSpacing/>
        <w:jc w:val="both"/>
        <w:rPr>
          <w:rFonts w:asciiTheme="minorHAnsi" w:hAnsiTheme="minorHAnsi" w:cstheme="minorHAnsi"/>
        </w:rPr>
      </w:pPr>
      <w:r>
        <w:rPr>
          <w:rFonts w:asciiTheme="minorHAnsi" w:hAnsiTheme="minorHAnsi" w:cstheme="minorHAnsi"/>
        </w:rPr>
        <w:t>B. pentru alte măsuri din cadrul SDL (prin realocări) pentru:</w:t>
      </w:r>
    </w:p>
    <w:p>
      <w:pPr>
        <w:spacing w:after="120" w:line="276" w:lineRule="auto"/>
        <w:contextualSpacing/>
        <w:jc w:val="both"/>
        <w:rPr>
          <w:rFonts w:asciiTheme="minorHAnsi" w:hAnsiTheme="minorHAnsi" w:cstheme="minorHAnsi"/>
        </w:rPr>
      </w:pPr>
      <w:r>
        <w:rPr>
          <w:rFonts w:asciiTheme="minorHAnsi" w:hAnsiTheme="minorHAnsi" w:cstheme="minorHAnsi"/>
        </w:rPr>
        <w:t>1. finanțarea proiectelor declarate eligibile și fără finanțare,prin emiterea unui Raport de Selecție suplimentar;</w:t>
      </w:r>
    </w:p>
    <w:p>
      <w:pPr>
        <w:spacing w:after="120" w:line="276" w:lineRule="auto"/>
        <w:contextualSpacing/>
        <w:jc w:val="both"/>
        <w:rPr>
          <w:rFonts w:asciiTheme="minorHAnsi" w:hAnsiTheme="minorHAnsi" w:cstheme="minorHAnsi"/>
        </w:rPr>
      </w:pPr>
      <w:r>
        <w:rPr>
          <w:rFonts w:asciiTheme="minorHAnsi" w:hAnsiTheme="minorHAnsi" w:cstheme="minorHAnsi"/>
        </w:rPr>
        <w:t>2. deschiderea unui nou Apel de selecție, pentru măsura/măsurile din SDL către care se realocă, inclusiv dacă în urma apelului anterior a fost emis Raport Suplimentar;</w:t>
      </w:r>
    </w:p>
    <w:p>
      <w:pPr>
        <w:spacing w:after="120" w:line="276" w:lineRule="auto"/>
        <w:contextualSpacing/>
        <w:jc w:val="both"/>
        <w:rPr>
          <w:rFonts w:asciiTheme="minorHAnsi" w:hAnsiTheme="minorHAnsi" w:cstheme="minorHAnsi"/>
        </w:rPr>
      </w:pPr>
      <w:r>
        <w:rPr>
          <w:rFonts w:asciiTheme="minorHAnsi" w:hAnsiTheme="minorHAnsi" w:cstheme="minorHAnsi"/>
        </w:rPr>
        <w:t xml:space="preserve">Pentru situațiile de la punctul B, GAL trebuie să justifice temeinic realocarea în contextul respectării obiectivelor și priorităților SDL, atât din perspectiva măsurii de la care se realocă fondurile, cât și din cea a măsurii către care se alocă. Motivele care pot sta la baza realocării, pot fi:  suma disponibilă nu este suficientă pentru lansarea unui nou apel de selecție în cadrul măsurii în care s-a produs disponibilul, la măsura de la care se realocă s-au îndeplinit indicatorii preconizați, prin măsura de la care se realocă se finanțează proiecte cu o durată mare de implementare. </w:t>
      </w:r>
    </w:p>
    <w:p>
      <w:pPr>
        <w:spacing w:after="120" w:line="276" w:lineRule="auto"/>
        <w:contextualSpacing/>
        <w:jc w:val="both"/>
        <w:rPr>
          <w:rFonts w:asciiTheme="minorHAnsi" w:hAnsiTheme="minorHAnsi" w:cstheme="minorHAnsi"/>
        </w:rPr>
      </w:pPr>
      <w:r>
        <w:rPr>
          <w:rFonts w:asciiTheme="minorHAnsi" w:hAnsiTheme="minorHAnsi" w:cstheme="minorHAnsi"/>
        </w:rPr>
        <w:t>În situaţia realocarii fondurilor disponibile de la o măsură către altă masură din cadrul strategiei, GAL poate decide finantarea proiectelor declarate eligibile şi fără finanţare conform punctului B1, numai în situaţii justificate care determină imposibilitatea deschiderii unui nou apel, cum ar fi: fondurile disponibile sunt insuficiente pentru lansarea unui nou apel, timpul ramas până la finalizarea implementării strategiei nu permite parcurgerea tuturor etapelor legate de pregătire și lansare a unui nou apel, evaluarea și implementarea proiectelor.</w:t>
      </w:r>
    </w:p>
    <w:p>
      <w:pPr>
        <w:spacing w:after="120" w:line="276" w:lineRule="auto"/>
        <w:contextualSpacing/>
        <w:jc w:val="both"/>
        <w:rPr>
          <w:rFonts w:asciiTheme="minorHAnsi" w:hAnsiTheme="minorHAnsi" w:cstheme="minorHAnsi"/>
        </w:rPr>
      </w:pPr>
      <w:r>
        <w:rPr>
          <w:rFonts w:asciiTheme="minorHAnsi" w:hAnsiTheme="minorHAnsi" w:cstheme="minorHAnsi"/>
          <w:b/>
        </w:rPr>
        <w:t>Atenție! GAL-urile care vor beneficia de sume suplimentare provenite din bonusare se pot încadra într-una dintre situațiile A și B, doar în contextul în care,  măsura aflată într-una dintre situațiile de la A1 şi B1 nu beneficiază de bonusare.</w:t>
      </w:r>
    </w:p>
    <w:p>
      <w:pPr>
        <w:spacing w:after="120" w:line="276" w:lineRule="auto"/>
        <w:contextualSpacing/>
        <w:jc w:val="both"/>
        <w:rPr>
          <w:rFonts w:asciiTheme="minorHAnsi" w:hAnsiTheme="minorHAnsi" w:cstheme="minorHAnsi"/>
          <w:b/>
        </w:rPr>
      </w:pPr>
      <w:r>
        <w:rPr>
          <w:rFonts w:asciiTheme="minorHAnsi" w:hAnsiTheme="minorHAnsi" w:cstheme="minorHAnsi"/>
          <w:b/>
        </w:rPr>
        <w:t>În ceeacepriveşte fondurile alocate unei măsuri în urma bonusării, GAl-urile au obligaţia de a lansa apeluri noi de selecţie, în cadrul cărora pot fi luate în considerare pentru selecţia proiectelor, pe langă proiectele nou depuse în cadrul apelului şi proiectele eligibile fără finanţare din apelurile anterioare, în masura în care în procesul de evaluare le-au fost aplicabile aceleaşi reguli/cerinţe legate de criteriile de eligibilitate şi selecţie.</w:t>
      </w:r>
    </w:p>
    <w:p>
      <w:pPr>
        <w:spacing w:line="276" w:lineRule="auto"/>
        <w:contextualSpacing/>
        <w:jc w:val="both"/>
        <w:rPr>
          <w:rFonts w:eastAsia="Calibri" w:asciiTheme="minorHAnsi" w:hAnsiTheme="minorHAnsi" w:cstheme="minorHAnsi"/>
          <w:lang w:val="ro-RO"/>
        </w:rPr>
      </w:pPr>
      <w:r>
        <w:rPr>
          <w:rFonts w:asciiTheme="minorHAnsi" w:hAnsiTheme="minorHAnsi" w:cstheme="minorHAnsi"/>
        </w:rPr>
        <w:t>Raportul de Selecție Suplimentar conține inclusiv statutul tuturor proiectelor depuse în cadrul ultimului apel de selecție, cu evidențierea proiectelor selectate ulterior emiterii Raportului de selecție. Se pot întocmi mai multe Rapoarte de selecție suplimentare aferente aceluiași Apel, ori de câte ori se constituie sume disponibile și mai sunt proiecte eligibile fără finanțare.</w:t>
      </w:r>
    </w:p>
    <w:p>
      <w:pPr>
        <w:spacing w:line="276" w:lineRule="auto"/>
        <w:contextualSpacing/>
        <w:jc w:val="both"/>
        <w:rPr>
          <w:rFonts w:eastAsia="Calibri" w:asciiTheme="minorHAnsi" w:hAnsiTheme="minorHAnsi" w:cstheme="minorHAnsi"/>
          <w:lang w:val="ro-RO"/>
        </w:rPr>
      </w:pPr>
      <w:r>
        <w:rPr>
          <w:rFonts w:eastAsia="Calibri" w:asciiTheme="minorHAnsi" w:hAnsiTheme="minorHAnsi" w:cstheme="minorHAnsi"/>
          <w:lang w:val="ro-RO"/>
        </w:rPr>
        <w:t>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pPr>
        <w:spacing w:line="276" w:lineRule="auto"/>
        <w:contextualSpacing/>
        <w:jc w:val="both"/>
        <w:rPr>
          <w:rFonts w:eastAsia="Calibri" w:asciiTheme="minorHAnsi" w:hAnsiTheme="minorHAnsi" w:cstheme="minorHAnsi"/>
        </w:rPr>
      </w:pPr>
    </w:p>
    <w:p>
      <w:pPr>
        <w:spacing w:before="120" w:after="120" w:line="276" w:lineRule="auto"/>
        <w:contextualSpacing/>
        <w:jc w:val="both"/>
        <w:rPr>
          <w:rFonts w:asciiTheme="minorHAnsi" w:hAnsiTheme="minorHAnsi" w:cstheme="minorHAnsi"/>
          <w:b/>
        </w:rPr>
      </w:pPr>
      <w:r>
        <w:rPr>
          <w:rFonts w:asciiTheme="minorHAnsi" w:hAnsiTheme="minorHAnsi" w:cstheme="minorHAnsi"/>
          <w:b/>
        </w:rPr>
        <w:t>Atenție!</w:t>
      </w:r>
    </w:p>
    <w:p>
      <w:pPr>
        <w:tabs>
          <w:tab w:val="left" w:pos="1440"/>
        </w:tabs>
        <w:jc w:val="both"/>
        <w:rPr>
          <w:rFonts w:asciiTheme="minorHAnsi" w:hAnsiTheme="minorHAnsi" w:cstheme="minorHAnsi"/>
          <w:bCs/>
        </w:rPr>
      </w:pPr>
      <w:r>
        <w:rPr>
          <w:rFonts w:asciiTheme="minorHAnsi" w:hAnsiTheme="minorHAnsi" w:cstheme="minorHAnsi"/>
        </w:rPr>
        <w:t xml:space="preserve">Pentru a evita situațiile în care anumite proiecte incluse în cadrul Rapoartelor de selecție suplimentare emise de GAL să fie declarate neeligibile de către AFIR, dacă de la momentul evaluării unui proiect declarat eligibil și nefinanțat (în așteptare) de către GAL și până la includerea acestuia în cadrul unui Raport de selecție suplimentar se depășește o perioadă de 6 (șase) luni, GAL va relua procesul de verificare a eligibilității proiectului respectiv. Această reverificare este necesară pentru a se asigura că și la momentul emiterii Raportului de selecție suplimentar sunt îndeplinite toate condițiile de eligibilitate (cu excepția acelor cerințe care sunt obligatorii de îndeplinit la depunerea cererii de finanțare – conform prevederilor europene), inclusiv din perspectiva posibilității implementării de către solicitant a investiției/planului de afaceri aprobate iniţial, încadrarea în termene, etc. Totodată, în situația unei perioade mari de timp de la depunerea Cererii de finanţare și până la publicarea unui Raport de selecție suplimentar, poate fi necesară  refacerea unor documente care au expirat sau actualizarea acestora la momentul verificării condiţiilor de eligibilitate (de ex. </w:t>
      </w:r>
      <w:r>
        <w:rPr>
          <w:rFonts w:asciiTheme="minorHAnsi" w:hAnsiTheme="minorHAnsi" w:cstheme="minorHAnsi"/>
          <w:bCs/>
        </w:rPr>
        <w:t xml:space="preserve">Declaraţie pe propria răspundere </w:t>
      </w:r>
      <w:r>
        <w:rPr>
          <w:rFonts w:asciiTheme="minorHAnsi" w:hAnsiTheme="minorHAnsi" w:cstheme="minorHAnsi"/>
        </w:rPr>
        <w:t xml:space="preserve">a solicitantului privind respectarea regulii de </w:t>
      </w:r>
      <w:r>
        <w:rPr>
          <w:rFonts w:asciiTheme="minorHAnsi" w:hAnsiTheme="minorHAnsi" w:cstheme="minorHAnsi"/>
          <w:bCs/>
        </w:rPr>
        <w:t xml:space="preserve">cumul a ajutoarelor de minimis). </w:t>
      </w:r>
    </w:p>
    <w:p>
      <w:pPr>
        <w:tabs>
          <w:tab w:val="left" w:pos="1440"/>
        </w:tabs>
        <w:jc w:val="both"/>
        <w:rPr>
          <w:rFonts w:asciiTheme="minorHAnsi" w:hAnsiTheme="minorHAnsi" w:cstheme="minorHAnsi"/>
        </w:rPr>
      </w:pPr>
      <w:bookmarkStart w:id="8" w:name="_Hlk83218536"/>
      <w:r>
        <w:rPr>
          <w:rFonts w:asciiTheme="minorHAnsi" w:hAnsiTheme="minorHAnsi" w:cstheme="minorHAnsi"/>
          <w:bCs/>
        </w:rPr>
        <w:t>În acest caz, proiectul inclus în Raportul de selecție suplimentar depus la AFIR va avea obligatoriu atașată Fișa de verificare a eligibilității de către GAL refăcută, premergător emiterii Raportului de selecție suplimentar. Aceasta trebuie să îndeplinească aceleași condiții de conformitate ca fișa inițială.</w:t>
      </w:r>
    </w:p>
    <w:p>
      <w:pPr>
        <w:spacing w:after="120"/>
        <w:jc w:val="both"/>
        <w:rPr>
          <w:rFonts w:asciiTheme="minorHAnsi" w:hAnsiTheme="minorHAnsi" w:cstheme="minorHAnsi"/>
        </w:rPr>
      </w:pPr>
      <w:r>
        <w:rPr>
          <w:rFonts w:asciiTheme="minorHAnsi" w:hAnsiTheme="minorHAnsi" w:cstheme="minorHAnsi"/>
        </w:rPr>
        <w:t>În cazul în care suma disponibilă pe o sesiune nu acoperă toate proiectele eligibile și astfel anumite proiecte devin eligibile și neselectate, există posibilitatea finanțării unui/mai multor proiecte care nu se încadrează în finanțare, în urma unei rectificări de către solicitant a bugetului indicativ al proiectului.</w:t>
      </w:r>
    </w:p>
    <w:p>
      <w:pPr>
        <w:spacing w:after="120"/>
        <w:jc w:val="both"/>
        <w:rPr>
          <w:rFonts w:asciiTheme="minorHAnsi" w:hAnsiTheme="minorHAnsi" w:cstheme="minorHAnsi"/>
        </w:rPr>
      </w:pPr>
      <w:r>
        <w:rPr>
          <w:rFonts w:asciiTheme="minorHAnsi" w:hAnsiTheme="minorHAnsi" w:cstheme="minorHAnsi"/>
        </w:rPr>
        <w:t>Pentru a putea finanța aceste tipuri de proiecte, se poate opta pentru una dintre următoarele variante:</w:t>
      </w:r>
    </w:p>
    <w:p>
      <w:pPr>
        <w:pStyle w:val="43"/>
        <w:numPr>
          <w:ilvl w:val="0"/>
          <w:numId w:val="9"/>
        </w:numPr>
        <w:spacing w:after="200" w:line="276" w:lineRule="auto"/>
        <w:ind w:left="0" w:firstLine="0"/>
        <w:jc w:val="both"/>
        <w:rPr>
          <w:rFonts w:cstheme="minorHAnsi"/>
          <w:sz w:val="24"/>
          <w:szCs w:val="24"/>
          <w:lang w:val="ro-RO"/>
        </w:rPr>
      </w:pPr>
      <w:r>
        <w:rPr>
          <w:rFonts w:cstheme="minorHAnsi"/>
          <w:sz w:val="24"/>
          <w:szCs w:val="24"/>
          <w:lang w:val="ro-RO"/>
        </w:rPr>
        <w:t>După finalizarea etapei de verificare a eligibilității și a criteriilor de selecție aplicate de către GAL, solicitantul va fi notificat asupra rezultatului verificării. În notificare, GAL menționează statusul proiectului ca fiind eligibil și neselectat și de asemenea, poate include informații referitoare la posibilitatea solicitantului de a reduce bugetul proiectului, astfel încât să se încadreze în alocarea rămasă disponibilă și astfel proiectul să devină selectat.</w:t>
      </w:r>
    </w:p>
    <w:p>
      <w:pPr>
        <w:jc w:val="both"/>
        <w:rPr>
          <w:rFonts w:asciiTheme="minorHAnsi" w:hAnsiTheme="minorHAnsi" w:cstheme="minorHAnsi"/>
          <w:lang w:val="ro-RO"/>
        </w:rPr>
      </w:pPr>
      <w:r>
        <w:rPr>
          <w:rFonts w:asciiTheme="minorHAnsi" w:hAnsiTheme="minorHAnsi" w:cstheme="minorHAnsi"/>
        </w:rPr>
        <w:t>În acest caz, GAL trebuie să informeze beneficiarul asupra termenului limită în care poate depune bugetul refăcut și perioada de reevaluare de la nivelul GAL.</w:t>
      </w:r>
    </w:p>
    <w:p>
      <w:pPr>
        <w:jc w:val="both"/>
        <w:rPr>
          <w:rFonts w:asciiTheme="minorHAnsi" w:hAnsiTheme="minorHAnsi" w:cstheme="minorHAnsi"/>
        </w:rPr>
      </w:pPr>
      <w:r>
        <w:rPr>
          <w:rFonts w:asciiTheme="minorHAnsi" w:hAnsiTheme="minorHAnsi" w:cstheme="minorHAnsi"/>
          <w:b/>
        </w:rPr>
        <w:t>Atenție!</w:t>
      </w:r>
      <w:r>
        <w:rPr>
          <w:rFonts w:asciiTheme="minorHAnsi" w:hAnsiTheme="minorHAnsi" w:cstheme="minorHAnsi"/>
        </w:rPr>
        <w:t xml:space="preserve"> Diminuarea bugetului nu trebuie să afecteze criteriile de eligibilitate și selecție ale proiectului.</w:t>
      </w:r>
    </w:p>
    <w:p>
      <w:pPr>
        <w:jc w:val="both"/>
        <w:rPr>
          <w:rFonts w:asciiTheme="minorHAnsi" w:hAnsiTheme="minorHAnsi" w:cstheme="minorHAnsi"/>
        </w:rPr>
      </w:pPr>
      <w:r>
        <w:rPr>
          <w:rFonts w:asciiTheme="minorHAnsi" w:hAnsiTheme="minorHAnsi" w:cstheme="minorHAnsi"/>
        </w:rPr>
        <w:t>Dacă solicitantul este de acord cu această posibilitate și implicit depune bugetul actualizat în conformitate cu disponibilul pe acea sesiune, care ulterior este aprobat, GAL poate include acest proiect cu valoarea actualizată în Raportul de selecție final.</w:t>
      </w:r>
    </w:p>
    <w:p>
      <w:pPr>
        <w:jc w:val="both"/>
        <w:rPr>
          <w:rFonts w:asciiTheme="minorHAnsi" w:hAnsiTheme="minorHAnsi" w:cstheme="minorHAnsi"/>
        </w:rPr>
      </w:pPr>
      <w:r>
        <w:rPr>
          <w:rFonts w:asciiTheme="minorHAnsi" w:hAnsiTheme="minorHAnsi" w:cstheme="minorHAnsi"/>
        </w:rPr>
        <w:t>2.</w:t>
      </w:r>
      <w:r>
        <w:rPr>
          <w:rFonts w:asciiTheme="minorHAnsi" w:hAnsiTheme="minorHAnsi" w:cstheme="minorHAnsi"/>
        </w:rPr>
        <w:tab/>
      </w:r>
      <w:r>
        <w:rPr>
          <w:rFonts w:asciiTheme="minorHAnsi" w:hAnsiTheme="minorHAnsi" w:cstheme="minorHAnsi"/>
        </w:rPr>
        <w:t>Există posibilitatea realocării unor sume de la alte măsuri către acea măsură și finanțarea proiectului/proiectelor în integralitate în baza unui raport de selecție suplimentar.</w:t>
      </w:r>
    </w:p>
    <w:p>
      <w:pPr>
        <w:jc w:val="both"/>
        <w:rPr>
          <w:rFonts w:asciiTheme="minorHAnsi" w:hAnsiTheme="minorHAnsi" w:cstheme="minorHAnsi"/>
          <w:b/>
        </w:rPr>
      </w:pPr>
      <w:r>
        <w:rPr>
          <w:rFonts w:asciiTheme="minorHAnsi" w:hAnsiTheme="minorHAnsi" w:cstheme="minorHAnsi"/>
        </w:rPr>
        <w:t>3.</w:t>
      </w:r>
      <w:r>
        <w:rPr>
          <w:rFonts w:asciiTheme="minorHAnsi" w:hAnsiTheme="minorHAnsi" w:cstheme="minorHAnsi"/>
        </w:rPr>
        <w:tab/>
      </w:r>
      <w:r>
        <w:rPr>
          <w:rFonts w:asciiTheme="minorHAnsi" w:hAnsiTheme="minorHAnsi" w:cstheme="minorHAnsi"/>
        </w:rPr>
        <w:t>Se poate finaliza sesiunea de depunere fără finanțarea proiectului eligibil și neselectat, iar ulterior se pot aloca sume suplimentare de la alte măsuri și se poate redeschide sesiunea.</w:t>
      </w:r>
    </w:p>
    <w:p>
      <w:pPr>
        <w:spacing w:line="276" w:lineRule="auto"/>
        <w:contextualSpacing/>
        <w:jc w:val="both"/>
        <w:rPr>
          <w:rFonts w:asciiTheme="minorHAnsi" w:hAnsiTheme="minorHAnsi" w:cstheme="minorHAnsi"/>
          <w:b/>
        </w:rPr>
      </w:pPr>
    </w:p>
    <w:p>
      <w:pPr>
        <w:spacing w:line="276" w:lineRule="auto"/>
        <w:jc w:val="both"/>
        <w:rPr>
          <w:rFonts w:eastAsia="Calibri" w:asciiTheme="minorHAnsi" w:hAnsiTheme="minorHAnsi"/>
        </w:rPr>
        <w:sectPr>
          <w:pgSz w:w="12240" w:h="15840"/>
          <w:pgMar w:top="1720" w:right="940" w:bottom="280" w:left="1300" w:header="427" w:footer="861" w:gutter="0"/>
          <w:cols w:space="720" w:num="1"/>
        </w:sectPr>
      </w:pPr>
      <w:r>
        <w:rPr>
          <w:rFonts w:asciiTheme="minorHAnsi" w:hAnsiTheme="minorHAnsi" w:cstheme="minorHAnsi"/>
          <w:b/>
        </w:rPr>
        <w:t>Atenție!Depunerea proiectelor selectate de GAL la AFIR este condiționată de avizarea Apelului de Selecție și a Raportului de Selecție de către reprezentantul/reprezentanții CDRJ.</w:t>
      </w:r>
      <w:bookmarkEnd w:id="8"/>
    </w:p>
    <w:p>
      <w:pPr>
        <w:pStyle w:val="2"/>
      </w:pPr>
      <w:bookmarkStart w:id="9" w:name="_Toc503861725"/>
      <w:r>
        <w:t>9. TRANSMITEREA CERERILOR DE FINANŢARE SELECTATE ŞI ADOCUMENTELOR AFERENTE ACESTORA CĂTRE AFIR</w:t>
      </w:r>
      <w:bookmarkEnd w:id="9"/>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Cererile de finanțareselectate de catre GAL vor fi depuse la structurile AFIR.</w:t>
      </w:r>
    </w:p>
    <w:p>
      <w:pPr>
        <w:spacing w:line="276" w:lineRule="auto"/>
        <w:jc w:val="both"/>
        <w:rPr>
          <w:rFonts w:asciiTheme="minorHAnsi" w:hAnsiTheme="minorHAnsi"/>
        </w:rPr>
      </w:pPr>
    </w:p>
    <w:p>
      <w:pPr>
        <w:pStyle w:val="52"/>
        <w:spacing w:before="72" w:line="360" w:lineRule="auto"/>
        <w:rPr>
          <w:rFonts w:cs="Calibri"/>
          <w:bCs/>
          <w:lang w:val="ro-RO" w:eastAsia="ro-RO"/>
        </w:rPr>
      </w:pPr>
      <w:r>
        <w:rPr>
          <w:rFonts w:cs="Calibri"/>
          <w:bCs/>
          <w:lang w:val="ro-RO" w:eastAsia="ro-RO"/>
        </w:rPr>
        <w:t xml:space="preserve">Reprezentanții GAL sau solicitanții pot 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prin constituirea unor sume disponibile în conformitate cu prevederile Ghidului Grupurilor de Acțiune Locală pentru implementarea strategiilor de dezvoltare locală, elaborat de către DGDR – AM PNDR), astfel încât să se poată realiza evaluarea și contractarea acestora în termenul limită prevăzut de legislația în vigoare. 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w:t>
      </w:r>
    </w:p>
    <w:p>
      <w:pPr>
        <w:pStyle w:val="50"/>
        <w:spacing w:line="276" w:lineRule="auto"/>
        <w:jc w:val="both"/>
        <w:rPr>
          <w:rFonts w:ascii="Calibri" w:hAnsi="Calibri"/>
          <w:sz w:val="24"/>
          <w:szCs w:val="24"/>
          <w:lang w:val="ro-RO"/>
        </w:rPr>
      </w:pPr>
    </w:p>
    <w:p>
      <w:pPr>
        <w:pStyle w:val="50"/>
        <w:spacing w:line="276" w:lineRule="auto"/>
        <w:jc w:val="both"/>
        <w:rPr>
          <w:rFonts w:ascii="Calibri" w:hAnsi="Calibri"/>
          <w:sz w:val="24"/>
          <w:szCs w:val="24"/>
          <w:lang w:val="ro-RO"/>
        </w:rPr>
      </w:pPr>
      <w:r>
        <w:rPr>
          <w:rFonts w:ascii="Calibri" w:hAnsi="Calibri"/>
          <w:b/>
          <w:sz w:val="24"/>
          <w:szCs w:val="24"/>
          <w:lang w:val="ro-RO"/>
        </w:rPr>
        <w:t>Notă!</w:t>
      </w:r>
      <w:r>
        <w:rPr>
          <w:rFonts w:ascii="Calibri" w:hAnsi="Calibri"/>
          <w:sz w:val="24"/>
          <w:szCs w:val="24"/>
          <w:lang w:val="ro-RO"/>
        </w:rPr>
        <w:t xml:space="preserve"> În cazul cererilor de finanțare declarate anterior ca fiind „neconforme“ și redepuse în baza aceluiași Raport de selecție, se verifică ca de la data la care a fost luată la cunoștință decizia de neconformitate și până la data redepunerii să nu se depășească 15 zile lucrătoare.</w:t>
      </w:r>
    </w:p>
    <w:p>
      <w:pPr>
        <w:jc w:val="both"/>
        <w:rPr>
          <w:rFonts w:ascii="Calibri" w:hAnsi="Calibri"/>
          <w:sz w:val="22"/>
          <w:szCs w:val="22"/>
        </w:rPr>
      </w:pPr>
    </w:p>
    <w:p>
      <w:pPr>
        <w:spacing w:line="360" w:lineRule="auto"/>
        <w:jc w:val="both"/>
        <w:rPr>
          <w:rFonts w:ascii="Calibri" w:hAnsi="Calibri" w:cs="Calibri"/>
          <w:bCs/>
          <w:lang w:val="ro-RO" w:eastAsia="ro-RO"/>
        </w:rPr>
      </w:pPr>
      <w:r>
        <w:rPr>
          <w:rFonts w:ascii="Calibri" w:hAnsi="Calibri"/>
        </w:rPr>
        <w:t xml:space="preserve">Cererile de finanțarevor fi depuse în format fizic </w:t>
      </w:r>
      <w:r>
        <w:rPr>
          <w:rFonts w:ascii="Calibri" w:hAnsi="Calibri" w:cs="Calibri"/>
          <w:bCs/>
          <w:lang w:val="ro-RO" w:eastAsia="ro-RO"/>
        </w:rPr>
        <w:t xml:space="preserve">sau vor fi transmise prin e-mail, în formă scanată de către solicitant sau semnate electronic </w:t>
      </w:r>
      <w:r>
        <w:rPr>
          <w:rFonts w:ascii="Calibri" w:hAnsi="Calibri"/>
        </w:rPr>
        <w:t xml:space="preserve">la OJFIR </w:t>
      </w:r>
      <w:r>
        <w:rPr>
          <w:rFonts w:ascii="Calibri" w:hAnsi="Calibri" w:cs="Calibri"/>
          <w:bCs/>
          <w:lang w:val="ro-RO" w:eastAsia="ro-RO"/>
        </w:rPr>
        <w:t xml:space="preserve">pe raza căruia se implementează proiectul sau pot fi încărcate de către GAL în sistemul online al AFIR, respectiv prin accesarea aplicației “OneDrive”, după caz.  În cazul în care proiectul este amplasat pe teritoriul mai multor județe, acesta va fi depus la structura județeană pe raza căreia investiția proiectului este predominantă din punct de vedere valoric. În cazul proiectelor care vizează exploatații agricole  amplasate pe teritoriul mai multor județe, acestea vor fi depuse la OJFIR pe raza căruia exploatația agricolă are ponderea cea mai mare (suprafața agricolă/ numărul de animale). Pentru proiectele de servicii care vizează de ex. studii/ monografii aferente întregului teritoriu GAL, cererile de finanțare vor fi depuse/ transmise la OJFIR căruia îi este arondat GAL-ul. </w:t>
      </w:r>
    </w:p>
    <w:p>
      <w:pPr>
        <w:spacing w:line="276" w:lineRule="auto"/>
        <w:jc w:val="both"/>
        <w:rPr>
          <w:rFonts w:ascii="Calibri" w:hAnsi="Calibri"/>
        </w:rPr>
      </w:pPr>
    </w:p>
    <w:p>
      <w:pPr>
        <w:spacing w:line="360" w:lineRule="auto"/>
        <w:jc w:val="both"/>
        <w:rPr>
          <w:rFonts w:ascii="Calibri" w:hAnsi="Calibri"/>
        </w:rPr>
      </w:pPr>
      <w:r>
        <w:rPr>
          <w:rFonts w:ascii="Calibri" w:hAnsi="Calibri"/>
        </w:rPr>
        <w:t xml:space="preserve">Solicitanții care dispun de semnătură electronică pot transmite Cererea de finanțare și documentele anexe întocmite în nume propriu aferente cererii de finanțare semnate electronic cu o semnatură bazată pe certificat digital calificat (de ex. în cazul documentelor word emise de solicitant, acestea se pot exporta direct în PDF și semna electronic fără listare). În cazul documentelor emise de alte instituții/ entități acestea se vor scana pentru încărcare. Solicitanții trebuie să dețină semnătură electronică calificată care în sensul Regulamentului (UE) nr. 910/2014 se bazează pe un certificat calificat emis de un furnizor de servicii care se află în lista oficială a Uniunii Europene si care se regaseşte la https://webgate.ec.europa.eu/tl-browser/#/. </w:t>
      </w:r>
    </w:p>
    <w:p>
      <w:pPr>
        <w:spacing w:line="276" w:lineRule="auto"/>
        <w:jc w:val="both"/>
        <w:rPr>
          <w:rFonts w:eastAsia="Calibri" w:asciiTheme="minorHAnsi" w:hAnsiTheme="minorHAnsi"/>
          <w:lang w:val="ro-RO"/>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Cererea de finanțare se poate depuneastfel:</w:t>
      </w:r>
    </w:p>
    <w:p>
      <w:pPr>
        <w:spacing w:line="360" w:lineRule="auto"/>
        <w:jc w:val="both"/>
        <w:rPr>
          <w:rFonts w:ascii="Calibri" w:hAnsi="Calibri"/>
        </w:rPr>
      </w:pPr>
      <w:r>
        <w:rPr>
          <w:rFonts w:eastAsia="Calibri" w:asciiTheme="minorHAnsi" w:hAnsiTheme="minorHAnsi"/>
        </w:rPr>
        <w:t xml:space="preserve">- în format letricîn original – 1 exemplar șiîn format electronic (CD –1 exemplar, care vacuprinde scan-ul cererii de finanțareinsotit de cererea de finantare in format editabil) la expertulexpertulCompartimentuluiEvaluare (CE) al Serviciului LEADER șiInvestiții Non-agricole de la nivelul OJFIR.  </w:t>
      </w:r>
      <w:r>
        <w:rPr>
          <w:rFonts w:ascii="Calibri" w:hAnsi="Calibri"/>
        </w:rPr>
        <w:t>La depunerea proiectului în format letric la OJFIR trebuie să fie prezent solicitantul sau un împuternicit al acestuia. În cazul în care solicitantul dorește, îl poate împuternici pe reprezentantul GAL să depună proiectul, printr-un mandat sub semnătură privată;</w:t>
      </w:r>
    </w:p>
    <w:p>
      <w:pPr>
        <w:pStyle w:val="50"/>
        <w:numPr>
          <w:ilvl w:val="0"/>
          <w:numId w:val="10"/>
        </w:numPr>
        <w:spacing w:line="360" w:lineRule="auto"/>
        <w:jc w:val="both"/>
        <w:rPr>
          <w:rFonts w:ascii="Calibri" w:hAnsi="Calibri"/>
          <w:sz w:val="24"/>
          <w:szCs w:val="24"/>
          <w:lang w:val="ro-RO"/>
        </w:rPr>
      </w:pPr>
      <w:r>
        <w:rPr>
          <w:rFonts w:ascii="Calibri" w:hAnsi="Calibri"/>
          <w:sz w:val="24"/>
          <w:szCs w:val="24"/>
        </w:rPr>
        <w:t>transmise prin e-mail în formă scanată/semnată electronic la OJFIR pe raza căruia se implementează proiectul;</w:t>
      </w:r>
    </w:p>
    <w:p>
      <w:pPr>
        <w:pStyle w:val="50"/>
        <w:numPr>
          <w:ilvl w:val="0"/>
          <w:numId w:val="10"/>
        </w:numPr>
        <w:spacing w:line="360" w:lineRule="auto"/>
        <w:jc w:val="both"/>
        <w:rPr>
          <w:rFonts w:ascii="Calibri" w:hAnsi="Calibri"/>
          <w:sz w:val="24"/>
          <w:szCs w:val="24"/>
          <w:lang w:val="ro-RO"/>
        </w:rPr>
      </w:pPr>
      <w:r>
        <w:rPr>
          <w:rFonts w:ascii="Calibri" w:hAnsi="Calibri"/>
          <w:sz w:val="24"/>
          <w:szCs w:val="24"/>
        </w:rPr>
        <w:t>încărcate de către GAL în sistemul online al AFIR, respectiv prin accesarea aplicației “OneDrive”, după caz.</w:t>
      </w:r>
    </w:p>
    <w:p>
      <w:pPr>
        <w:pStyle w:val="50"/>
        <w:spacing w:line="360" w:lineRule="auto"/>
        <w:jc w:val="both"/>
        <w:rPr>
          <w:rFonts w:ascii="Calibri" w:hAnsi="Calibri"/>
          <w:sz w:val="24"/>
          <w:szCs w:val="24"/>
          <w:lang w:val="ro-RO"/>
        </w:rPr>
      </w:pPr>
      <w:r>
        <w:rPr>
          <w:rFonts w:ascii="Calibri" w:hAnsi="Calibri"/>
          <w:sz w:val="24"/>
          <w:szCs w:val="24"/>
        </w:rPr>
        <w:t>Solicitantul își asumă veridicitatea documentelor, iar dacă la prezentarea acestora în original se constată neconcordanțe care afectează condițiile de eligibilitate sau selecție, proiectul va fi declarat neeligibil.</w:t>
      </w:r>
    </w:p>
    <w:p>
      <w:pPr>
        <w:pStyle w:val="50"/>
        <w:spacing w:line="360" w:lineRule="auto"/>
        <w:ind w:left="720"/>
        <w:jc w:val="both"/>
        <w:rPr>
          <w:rFonts w:ascii="Calibri" w:hAnsi="Calibri"/>
          <w:sz w:val="24"/>
          <w:szCs w:val="24"/>
          <w:lang w:val="ro-RO"/>
        </w:rPr>
      </w:pPr>
    </w:p>
    <w:p>
      <w:pPr>
        <w:pStyle w:val="50"/>
        <w:spacing w:line="360" w:lineRule="auto"/>
        <w:jc w:val="both"/>
        <w:rPr>
          <w:rFonts w:ascii="Calibri" w:hAnsi="Calibri"/>
          <w:sz w:val="24"/>
          <w:szCs w:val="24"/>
          <w:lang w:val="ro-RO"/>
        </w:rPr>
      </w:pPr>
      <w:r>
        <w:rPr>
          <w:rFonts w:ascii="Calibri" w:hAnsi="Calibri"/>
          <w:sz w:val="24"/>
          <w:szCs w:val="24"/>
          <w:lang w:val="ro-RO"/>
        </w:rPr>
        <w:t xml:space="preserve">În cazul proiectelor depuse în format letric sau scanat, în vederea încheierii contractului de finanțare solicitanții declarați eligibili și selectați vor trebui să prezinte obligatoriu documentele specifice precizate în cadrul cererii de finanțare în original, în vederea verificării conformității documentelor depuse în copie cu documentele în original. </w:t>
      </w:r>
    </w:p>
    <w:p>
      <w:pPr>
        <w:keepNext/>
        <w:spacing w:before="120" w:after="120"/>
        <w:contextualSpacing/>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Toate cererile de finanțare depuse la structurile teritoriale ale AFIR trebuie să fie însoțite în mod</w:t>
      </w:r>
    </w:p>
    <w:p>
      <w:pPr>
        <w:spacing w:line="276" w:lineRule="auto"/>
        <w:jc w:val="both"/>
        <w:rPr>
          <w:rFonts w:eastAsia="Calibri" w:asciiTheme="minorHAnsi" w:hAnsiTheme="minorHAnsi"/>
        </w:rPr>
      </w:pPr>
      <w:r>
        <w:rPr>
          <w:rFonts w:eastAsia="Calibri" w:asciiTheme="minorHAnsi" w:hAnsiTheme="minorHAnsi"/>
        </w:rPr>
        <w:t>obligatoriu de:</w:t>
      </w:r>
    </w:p>
    <w:p>
      <w:pPr>
        <w:pStyle w:val="43"/>
        <w:numPr>
          <w:ilvl w:val="0"/>
          <w:numId w:val="11"/>
        </w:numPr>
        <w:spacing w:line="276" w:lineRule="auto"/>
        <w:jc w:val="both"/>
        <w:rPr>
          <w:rFonts w:eastAsia="Calibri"/>
          <w:sz w:val="24"/>
          <w:szCs w:val="24"/>
        </w:rPr>
      </w:pPr>
      <w:r>
        <w:rPr>
          <w:rFonts w:eastAsia="Calibri"/>
          <w:sz w:val="24"/>
          <w:szCs w:val="24"/>
        </w:rPr>
        <w:t xml:space="preserve">Fișa de verificare a conformitatii, întocmită de GAL și avizată de CDRJ </w:t>
      </w:r>
      <w:r>
        <w:rPr>
          <w:sz w:val="24"/>
          <w:szCs w:val="24"/>
        </w:rPr>
        <w:t>prin completarea Formularului 3</w:t>
      </w:r>
      <w:r>
        <w:rPr>
          <w:rFonts w:eastAsia="Calibri"/>
          <w:sz w:val="24"/>
          <w:szCs w:val="24"/>
        </w:rPr>
        <w:t>;</w:t>
      </w:r>
    </w:p>
    <w:p>
      <w:pPr>
        <w:pStyle w:val="43"/>
        <w:numPr>
          <w:ilvl w:val="0"/>
          <w:numId w:val="11"/>
        </w:numPr>
        <w:spacing w:line="276" w:lineRule="auto"/>
        <w:jc w:val="both"/>
        <w:rPr>
          <w:rFonts w:eastAsia="Calibri"/>
          <w:sz w:val="24"/>
          <w:szCs w:val="24"/>
        </w:rPr>
      </w:pPr>
      <w:r>
        <w:rPr>
          <w:rFonts w:eastAsia="Calibri"/>
          <w:sz w:val="24"/>
          <w:szCs w:val="24"/>
        </w:rPr>
        <w:t xml:space="preserve">Fișa de verificare a eligibilității, întocmită de GAL și avizată de CDRJ </w:t>
      </w:r>
      <w:r>
        <w:rPr>
          <w:sz w:val="24"/>
          <w:szCs w:val="24"/>
        </w:rPr>
        <w:t>prin completarea Formularului 3</w:t>
      </w:r>
      <w:r>
        <w:rPr>
          <w:rFonts w:eastAsia="Calibri"/>
          <w:sz w:val="24"/>
          <w:szCs w:val="24"/>
        </w:rPr>
        <w:t>;</w:t>
      </w:r>
    </w:p>
    <w:p>
      <w:pPr>
        <w:pStyle w:val="43"/>
        <w:numPr>
          <w:ilvl w:val="0"/>
          <w:numId w:val="11"/>
        </w:numPr>
        <w:spacing w:line="276" w:lineRule="auto"/>
        <w:jc w:val="both"/>
        <w:rPr>
          <w:rFonts w:eastAsia="Calibri"/>
          <w:sz w:val="24"/>
          <w:szCs w:val="24"/>
        </w:rPr>
      </w:pPr>
      <w:r>
        <w:rPr>
          <w:rFonts w:eastAsia="Calibri"/>
          <w:sz w:val="24"/>
          <w:szCs w:val="24"/>
        </w:rPr>
        <w:t xml:space="preserve">Fișa de verificare a criteriilor de selecție, întocmită de GAL și avizată de CDRJ </w:t>
      </w:r>
      <w:r>
        <w:rPr>
          <w:sz w:val="24"/>
          <w:szCs w:val="24"/>
        </w:rPr>
        <w:t>prin completarea Formularului 3</w:t>
      </w:r>
      <w:r>
        <w:rPr>
          <w:rFonts w:eastAsia="Calibri"/>
          <w:sz w:val="24"/>
          <w:szCs w:val="24"/>
        </w:rPr>
        <w:t>;</w:t>
      </w:r>
    </w:p>
    <w:p>
      <w:pPr>
        <w:pStyle w:val="43"/>
        <w:numPr>
          <w:ilvl w:val="0"/>
          <w:numId w:val="11"/>
        </w:numPr>
        <w:spacing w:line="276" w:lineRule="auto"/>
        <w:jc w:val="both"/>
        <w:rPr>
          <w:rFonts w:eastAsia="Calibri"/>
          <w:sz w:val="24"/>
          <w:szCs w:val="24"/>
        </w:rPr>
      </w:pPr>
      <w:r>
        <w:rPr>
          <w:rFonts w:eastAsia="Calibri"/>
          <w:sz w:val="24"/>
          <w:szCs w:val="24"/>
        </w:rPr>
        <w:t>Fișa de verificare pe teren, întocmită de GAL – dacă este cazul;</w:t>
      </w:r>
    </w:p>
    <w:p>
      <w:pPr>
        <w:pStyle w:val="50"/>
        <w:numPr>
          <w:ilvl w:val="0"/>
          <w:numId w:val="11"/>
        </w:numPr>
        <w:jc w:val="both"/>
        <w:rPr>
          <w:rFonts w:ascii="Calibri" w:hAnsi="Calibri"/>
          <w:sz w:val="24"/>
          <w:szCs w:val="24"/>
          <w:lang w:val="ro-RO"/>
        </w:rPr>
      </w:pPr>
      <w:r>
        <w:rPr>
          <w:rFonts w:ascii="Calibri" w:hAnsi="Calibri"/>
          <w:sz w:val="24"/>
          <w:szCs w:val="24"/>
          <w:lang w:val="ro-RO"/>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pPr>
        <w:pStyle w:val="50"/>
        <w:numPr>
          <w:ilvl w:val="0"/>
          <w:numId w:val="11"/>
        </w:numPr>
        <w:jc w:val="both"/>
        <w:rPr>
          <w:rFonts w:ascii="Calibri" w:hAnsi="Calibri"/>
          <w:sz w:val="24"/>
          <w:szCs w:val="24"/>
          <w:lang w:val="ro-RO"/>
        </w:rPr>
      </w:pPr>
      <w:r>
        <w:rPr>
          <w:rFonts w:ascii="Calibri" w:hAnsi="Calibri"/>
          <w:sz w:val="24"/>
          <w:szCs w:val="24"/>
          <w:lang w:val="ro-RO"/>
        </w:rPr>
        <w:t>Copie a Notei emisă de GAL prin care Raportul intermediar de selecție devine Raport final de selecție (dacă este cazul);</w:t>
      </w:r>
    </w:p>
    <w:p>
      <w:pPr>
        <w:pStyle w:val="43"/>
        <w:numPr>
          <w:ilvl w:val="0"/>
          <w:numId w:val="11"/>
        </w:numPr>
        <w:spacing w:line="276" w:lineRule="auto"/>
        <w:jc w:val="both"/>
        <w:rPr>
          <w:rFonts w:eastAsia="Calibri"/>
          <w:sz w:val="24"/>
          <w:szCs w:val="24"/>
        </w:rPr>
      </w:pPr>
      <w:r>
        <w:rPr>
          <w:rFonts w:eastAsia="Calibri"/>
          <w:sz w:val="24"/>
          <w:szCs w:val="24"/>
        </w:rPr>
        <w:t>Copii ale declarațiilor persoanelor implicate în procesul de evaluare și selecție de la nivelul GAL, privind evitarea conflictului de interese;</w:t>
      </w:r>
    </w:p>
    <w:p>
      <w:pPr>
        <w:pStyle w:val="43"/>
        <w:numPr>
          <w:ilvl w:val="0"/>
          <w:numId w:val="11"/>
        </w:numPr>
        <w:spacing w:line="276" w:lineRule="auto"/>
        <w:jc w:val="both"/>
        <w:rPr>
          <w:rFonts w:eastAsia="Calibri"/>
          <w:sz w:val="24"/>
          <w:szCs w:val="24"/>
        </w:rPr>
      </w:pPr>
      <w:r>
        <w:rPr>
          <w:rFonts w:eastAsia="Calibri"/>
          <w:lang w:val="ro-RO"/>
        </w:rPr>
        <w:t>Copie a Formularului 2/2.1 - Formular de verificare a apelului de selecție emis de CDRJ;</w:t>
      </w:r>
    </w:p>
    <w:p>
      <w:pPr>
        <w:pStyle w:val="43"/>
        <w:numPr>
          <w:ilvl w:val="0"/>
          <w:numId w:val="11"/>
        </w:numPr>
        <w:spacing w:line="276" w:lineRule="auto"/>
        <w:jc w:val="both"/>
        <w:rPr>
          <w:rFonts w:eastAsia="Calibri"/>
          <w:sz w:val="24"/>
          <w:szCs w:val="24"/>
        </w:rPr>
      </w:pPr>
      <w:r>
        <w:rPr>
          <w:rFonts w:eastAsia="Calibri"/>
          <w:lang w:val="ro-RO"/>
        </w:rPr>
        <w:t>Copie a Formularului 3 - Formular de verificare a procesului de selecție emis de CDRJ.</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sectPr>
          <w:pgSz w:w="12240" w:h="15840"/>
          <w:pgMar w:top="1720" w:right="940" w:bottom="280" w:left="1300" w:header="427" w:footer="861" w:gutter="0"/>
          <w:cols w:space="720" w:num="1"/>
        </w:sectPr>
      </w:pPr>
    </w:p>
    <w:p>
      <w:pPr>
        <w:pStyle w:val="2"/>
      </w:pPr>
      <w:bookmarkStart w:id="10" w:name="_Toc503861726"/>
      <w:r>
        <w:t>10. FORMULARE</w:t>
      </w:r>
      <w:bookmarkEnd w:id="10"/>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Raport de analiză a contestației</w:t>
      </w:r>
    </w:p>
    <w:p>
      <w:pPr>
        <w:spacing w:line="276" w:lineRule="auto"/>
        <w:jc w:val="both"/>
        <w:rPr>
          <w:rFonts w:asciiTheme="minorHAnsi" w:hAnsiTheme="minorHAnsi"/>
        </w:rPr>
      </w:pPr>
    </w:p>
    <w:tbl>
      <w:tblPr>
        <w:tblStyle w:val="12"/>
        <w:tblW w:w="0" w:type="auto"/>
        <w:tblInd w:w="134" w:type="dxa"/>
        <w:tblLayout w:type="fixed"/>
        <w:tblCellMar>
          <w:top w:w="0" w:type="dxa"/>
          <w:left w:w="0" w:type="dxa"/>
          <w:bottom w:w="0" w:type="dxa"/>
          <w:right w:w="0" w:type="dxa"/>
        </w:tblCellMar>
      </w:tblPr>
      <w:tblGrid>
        <w:gridCol w:w="4705"/>
        <w:gridCol w:w="4765"/>
      </w:tblGrid>
      <w:tr>
        <w:tblPrEx>
          <w:tblCellMar>
            <w:top w:w="0" w:type="dxa"/>
            <w:left w:w="0" w:type="dxa"/>
            <w:bottom w:w="0" w:type="dxa"/>
            <w:right w:w="0" w:type="dxa"/>
          </w:tblCellMar>
        </w:tblPrEx>
        <w:trPr>
          <w:trHeight w:val="346"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Denumire solicitant</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8"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Numărulcererii de finanţare</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6"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Data primiriinotificării de către solicitant</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684"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Data depuneriișiînregistrăriicontestaţiei la</w:t>
            </w:r>
          </w:p>
          <w:p>
            <w:pPr>
              <w:spacing w:line="276" w:lineRule="auto"/>
              <w:jc w:val="both"/>
              <w:rPr>
                <w:rFonts w:eastAsia="Calibri" w:asciiTheme="minorHAnsi" w:hAnsiTheme="minorHAnsi"/>
              </w:rPr>
            </w:pPr>
            <w:r>
              <w:rPr>
                <w:rFonts w:eastAsia="Calibri" w:asciiTheme="minorHAnsi" w:hAnsiTheme="minorHAnsi"/>
              </w:rPr>
              <w:t>GAL PlatoulMehedinti</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684"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Valoareatotală a proiectului (euro), conform</w:t>
            </w:r>
          </w:p>
          <w:p>
            <w:pPr>
              <w:spacing w:line="276" w:lineRule="auto"/>
              <w:jc w:val="both"/>
              <w:rPr>
                <w:rFonts w:eastAsia="Calibri" w:asciiTheme="minorHAnsi" w:hAnsiTheme="minorHAnsi"/>
              </w:rPr>
            </w:pPr>
            <w:r>
              <w:rPr>
                <w:rFonts w:eastAsia="Calibri" w:asciiTheme="minorHAnsi" w:hAnsiTheme="minorHAnsi"/>
              </w:rPr>
              <w:t>Cererii de finanțare</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8"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Valoareaeligibilă a proiectului (euro)</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6"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Valoareacofinanțăriipublice (euro)</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640" w:hRule="exact"/>
        </w:trPr>
        <w:tc>
          <w:tcPr>
            <w:tcW w:w="9470" w:type="dxa"/>
            <w:gridSpan w:val="2"/>
            <w:tcBorders>
              <w:top w:val="nil"/>
              <w:left w:val="single" w:color="000000" w:sz="4" w:space="0"/>
              <w:bottom w:val="nil"/>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Obiectulcontestaţiei: (se vormenționacriteriile de eligibilitatesiselectiecontestateși se vorenunța, succint, motivelepentru care acestea au fost considerate neîndeplinite)</w:t>
            </w:r>
          </w:p>
        </w:tc>
      </w:tr>
      <w:tr>
        <w:tblPrEx>
          <w:tblCellMar>
            <w:top w:w="0" w:type="dxa"/>
            <w:left w:w="0" w:type="dxa"/>
            <w:bottom w:w="0" w:type="dxa"/>
            <w:right w:w="0" w:type="dxa"/>
          </w:tblCellMar>
        </w:tblPrEx>
        <w:trPr>
          <w:trHeight w:val="348" w:hRule="exact"/>
        </w:trPr>
        <w:tc>
          <w:tcPr>
            <w:tcW w:w="4705" w:type="dxa"/>
            <w:vMerge w:val="restart"/>
            <w:tcBorders>
              <w:top w:val="single" w:color="000000" w:sz="4" w:space="0"/>
              <w:left w:val="single" w:color="000000" w:sz="4" w:space="0"/>
              <w:right w:val="single" w:color="000000" w:sz="4" w:space="0"/>
            </w:tcBorders>
          </w:tcPr>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Condițiile de eligibilitatesiselectiecontestate</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w:t>
            </w:r>
          </w:p>
        </w:tc>
      </w:tr>
      <w:tr>
        <w:tblPrEx>
          <w:tblCellMar>
            <w:top w:w="0" w:type="dxa"/>
            <w:left w:w="0" w:type="dxa"/>
            <w:bottom w:w="0" w:type="dxa"/>
            <w:right w:w="0" w:type="dxa"/>
          </w:tblCellMar>
        </w:tblPrEx>
        <w:trPr>
          <w:trHeight w:val="348" w:hRule="exact"/>
        </w:trPr>
        <w:tc>
          <w:tcPr>
            <w:tcW w:w="4705" w:type="dxa"/>
            <w:vMerge w:val="continue"/>
            <w:tcBorders>
              <w:left w:val="single" w:color="000000" w:sz="4" w:space="0"/>
              <w:right w:val="single" w:color="000000" w:sz="4" w:space="0"/>
            </w:tcBorders>
          </w:tcPr>
          <w:p>
            <w:pPr>
              <w:spacing w:line="276" w:lineRule="auto"/>
              <w:jc w:val="both"/>
              <w:rPr>
                <w:rFonts w:asciiTheme="minorHAnsi" w:hAnsiTheme="minorHAnsi"/>
              </w:rPr>
            </w:pP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w:t>
            </w:r>
          </w:p>
        </w:tc>
      </w:tr>
      <w:tr>
        <w:tblPrEx>
          <w:tblCellMar>
            <w:top w:w="0" w:type="dxa"/>
            <w:left w:w="0" w:type="dxa"/>
            <w:bottom w:w="0" w:type="dxa"/>
            <w:right w:w="0" w:type="dxa"/>
          </w:tblCellMar>
        </w:tblPrEx>
        <w:trPr>
          <w:trHeight w:val="346" w:hRule="exact"/>
        </w:trPr>
        <w:tc>
          <w:tcPr>
            <w:tcW w:w="4705" w:type="dxa"/>
            <w:vMerge w:val="continue"/>
            <w:tcBorders>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w:t>
            </w:r>
          </w:p>
        </w:tc>
      </w:tr>
      <w:tr>
        <w:tblPrEx>
          <w:tblCellMar>
            <w:top w:w="0" w:type="dxa"/>
            <w:left w:w="0" w:type="dxa"/>
            <w:bottom w:w="0" w:type="dxa"/>
            <w:right w:w="0" w:type="dxa"/>
          </w:tblCellMar>
        </w:tblPrEx>
        <w:trPr>
          <w:trHeight w:val="348"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Valoarepublică, contestată</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6"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Valoareeligibilă, contestată</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8"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Vizită pe teren (dupăcaz)</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bl>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II. Analizacontestaţiei:</w:t>
      </w:r>
    </w:p>
    <w:p>
      <w:pPr>
        <w:spacing w:line="276" w:lineRule="auto"/>
        <w:jc w:val="both"/>
        <w:rPr>
          <w:rFonts w:asciiTheme="minorHAnsi" w:hAnsiTheme="minorHAnsi"/>
        </w:rPr>
      </w:pPr>
    </w:p>
    <w:tbl>
      <w:tblPr>
        <w:tblStyle w:val="12"/>
        <w:tblW w:w="0" w:type="auto"/>
        <w:tblInd w:w="134" w:type="dxa"/>
        <w:tblLayout w:type="fixed"/>
        <w:tblCellMar>
          <w:top w:w="0" w:type="dxa"/>
          <w:left w:w="0" w:type="dxa"/>
          <w:bottom w:w="0" w:type="dxa"/>
          <w:right w:w="0" w:type="dxa"/>
        </w:tblCellMar>
      </w:tblPr>
      <w:tblGrid>
        <w:gridCol w:w="9470"/>
      </w:tblGrid>
      <w:tr>
        <w:tblPrEx>
          <w:tblCellMar>
            <w:top w:w="0" w:type="dxa"/>
            <w:left w:w="0" w:type="dxa"/>
            <w:bottom w:w="0" w:type="dxa"/>
            <w:right w:w="0" w:type="dxa"/>
          </w:tblCellMar>
        </w:tblPrEx>
        <w:trPr>
          <w:trHeight w:val="346"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Criterii de eligibilitate/selectie/valoareaproiectuluipentru care a fostdepusăcontestația:</w:t>
            </w:r>
          </w:p>
        </w:tc>
      </w:tr>
      <w:tr>
        <w:tblPrEx>
          <w:tblCellMar>
            <w:top w:w="0" w:type="dxa"/>
            <w:left w:w="0" w:type="dxa"/>
            <w:bottom w:w="0" w:type="dxa"/>
            <w:right w:w="0" w:type="dxa"/>
          </w:tblCellMar>
        </w:tblPrEx>
        <w:trPr>
          <w:trHeight w:val="348"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1.   Ex.: EG1</w:t>
            </w:r>
          </w:p>
        </w:tc>
      </w:tr>
      <w:tr>
        <w:tblPrEx>
          <w:tblCellMar>
            <w:top w:w="0" w:type="dxa"/>
            <w:left w:w="0" w:type="dxa"/>
            <w:bottom w:w="0" w:type="dxa"/>
            <w:right w:w="0" w:type="dxa"/>
          </w:tblCellMar>
        </w:tblPrEx>
        <w:trPr>
          <w:trHeight w:val="684"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Modul de evaluare conform procedurii: se vaprecizanumaiversiunea de procedurafolosită,</w:t>
            </w:r>
          </w:p>
          <w:p>
            <w:pPr>
              <w:spacing w:line="276" w:lineRule="auto"/>
              <w:jc w:val="both"/>
              <w:rPr>
                <w:rFonts w:eastAsia="Calibri" w:asciiTheme="minorHAnsi" w:hAnsiTheme="minorHAnsi"/>
              </w:rPr>
            </w:pPr>
            <w:r>
              <w:rPr>
                <w:rFonts w:eastAsia="Calibri" w:asciiTheme="minorHAnsi" w:hAnsiTheme="minorHAnsi"/>
              </w:rPr>
              <w:t>fără citate din metodologia de verificare</w:t>
            </w:r>
          </w:p>
        </w:tc>
      </w:tr>
      <w:tr>
        <w:tblPrEx>
          <w:tblCellMar>
            <w:top w:w="0" w:type="dxa"/>
            <w:left w:w="0" w:type="dxa"/>
            <w:bottom w:w="0" w:type="dxa"/>
            <w:right w:w="0" w:type="dxa"/>
          </w:tblCellMar>
        </w:tblPrEx>
        <w:trPr>
          <w:trHeight w:val="1356"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Justificareaanalizeipentrupropunerea   de   admitere/respingere   a   contestației,   cu</w:t>
            </w:r>
          </w:p>
          <w:p>
            <w:pPr>
              <w:spacing w:line="276" w:lineRule="auto"/>
              <w:jc w:val="both"/>
              <w:rPr>
                <w:rFonts w:eastAsia="Calibri" w:asciiTheme="minorHAnsi" w:hAnsiTheme="minorHAnsi"/>
              </w:rPr>
            </w:pPr>
            <w:r>
              <w:rPr>
                <w:rFonts w:eastAsia="Calibri" w:asciiTheme="minorHAnsi" w:hAnsiTheme="minorHAnsi"/>
              </w:rPr>
              <w:t>menţionareapaginilorsau a documentelorrelevante din proiect.</w:t>
            </w:r>
          </w:p>
          <w:p>
            <w:pPr>
              <w:spacing w:line="276" w:lineRule="auto"/>
              <w:jc w:val="both"/>
              <w:rPr>
                <w:rFonts w:eastAsia="Calibri" w:asciiTheme="minorHAnsi" w:hAnsiTheme="minorHAnsi"/>
              </w:rPr>
            </w:pPr>
            <w:r>
              <w:rPr>
                <w:rFonts w:eastAsia="Calibri" w:asciiTheme="minorHAnsi" w:hAnsiTheme="minorHAnsi"/>
              </w:rPr>
              <w:t>Nu vor fi luateînconsiderare la analizareacontestațieidecâtdocumenteleexistenteînproiect</w:t>
            </w:r>
          </w:p>
          <w:p>
            <w:pPr>
              <w:spacing w:line="276" w:lineRule="auto"/>
              <w:jc w:val="both"/>
              <w:rPr>
                <w:rFonts w:eastAsia="Calibri" w:asciiTheme="minorHAnsi" w:hAnsiTheme="minorHAnsi"/>
              </w:rPr>
            </w:pPr>
            <w:r>
              <w:rPr>
                <w:rFonts w:eastAsia="Calibri" w:asciiTheme="minorHAnsi" w:hAnsiTheme="minorHAnsi"/>
              </w:rPr>
              <w:t>la data depuneriidosaruluiCererii de finanțare.</w:t>
            </w:r>
          </w:p>
        </w:tc>
      </w:tr>
      <w:tr>
        <w:tblPrEx>
          <w:tblCellMar>
            <w:top w:w="0" w:type="dxa"/>
            <w:left w:w="0" w:type="dxa"/>
            <w:bottom w:w="0" w:type="dxa"/>
            <w:right w:w="0" w:type="dxa"/>
          </w:tblCellMar>
        </w:tblPrEx>
        <w:trPr>
          <w:trHeight w:val="348"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2.   .......</w:t>
            </w:r>
          </w:p>
        </w:tc>
      </w:tr>
      <w:tr>
        <w:tblPrEx>
          <w:tblCellMar>
            <w:top w:w="0" w:type="dxa"/>
            <w:left w:w="0" w:type="dxa"/>
            <w:bottom w:w="0" w:type="dxa"/>
            <w:right w:w="0" w:type="dxa"/>
          </w:tblCellMar>
        </w:tblPrEx>
        <w:trPr>
          <w:trHeight w:val="684"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Rezultatulpropus:  admis/parţial  admis/respins  -  cu  menţionareacriteriilorpropuse  a  fi</w:t>
            </w:r>
          </w:p>
          <w:p>
            <w:pPr>
              <w:spacing w:line="276" w:lineRule="auto"/>
              <w:jc w:val="both"/>
              <w:rPr>
                <w:rFonts w:eastAsia="Calibri" w:asciiTheme="minorHAnsi" w:hAnsiTheme="minorHAnsi"/>
              </w:rPr>
            </w:pPr>
            <w:r>
              <w:rPr>
                <w:rFonts w:eastAsia="Calibri" w:asciiTheme="minorHAnsi" w:hAnsiTheme="minorHAnsi"/>
              </w:rPr>
              <w:t>admisesaurespinse</w:t>
            </w:r>
          </w:p>
        </w:tc>
      </w:tr>
    </w:tbl>
    <w:p>
      <w:pPr>
        <w:spacing w:line="276" w:lineRule="auto"/>
        <w:jc w:val="both"/>
        <w:rPr>
          <w:rFonts w:asciiTheme="minorHAnsi" w:hAnsiTheme="minorHAnsi"/>
        </w:rPr>
        <w:sectPr>
          <w:pgSz w:w="12240" w:h="15840"/>
          <w:pgMar w:top="1720" w:right="940" w:bottom="280" w:left="1300" w:header="427" w:footer="861" w:gutter="0"/>
          <w:cols w:space="720" w:num="1"/>
        </w:sect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III. OBSERVAȚII</w:t>
      </w:r>
    </w:p>
    <w:p>
      <w:pPr>
        <w:spacing w:line="276" w:lineRule="auto"/>
        <w:jc w:val="both"/>
        <w:rPr>
          <w:rFonts w:eastAsia="Calibri" w:asciiTheme="minorHAnsi" w:hAnsiTheme="minorHAnsi"/>
        </w:rPr>
      </w:pPr>
      <w:r>
        <w:rPr>
          <w:rFonts w:eastAsia="Calibri" w:asciiTheme="minorHAnsi" w:hAnsiTheme="minorHAnsi"/>
        </w:rPr>
        <w:t>Eventualelecomentariireferitoare la alteaspecte se vormenţiona la acestpunct.</w:t>
      </w:r>
    </w:p>
    <w:p>
      <w:pPr>
        <w:spacing w:line="276" w:lineRule="auto"/>
        <w:jc w:val="both"/>
        <w:rPr>
          <w:rFonts w:eastAsia="Calibri" w:asciiTheme="minorHAnsi" w:hAnsiTheme="minorHAnsi"/>
        </w:rPr>
      </w:pPr>
      <w:r>
        <w:rPr>
          <w:rFonts w:eastAsia="Calibri" w:asciiTheme="minorHAnsi" w:hAnsiTheme="minorHAnsi"/>
        </w:rPr>
        <w:t>..........................................................................................................................................................</w:t>
      </w:r>
    </w:p>
    <w:p>
      <w:pPr>
        <w:spacing w:line="276" w:lineRule="auto"/>
        <w:jc w:val="both"/>
        <w:rPr>
          <w:rFonts w:eastAsia="Calibri" w:asciiTheme="minorHAnsi" w:hAnsiTheme="minorHAnsi"/>
        </w:rPr>
        <w:sectPr>
          <w:pgSz w:w="12240" w:h="15840"/>
          <w:pgMar w:top="1720" w:right="940" w:bottom="280" w:left="1220" w:header="427" w:footer="861" w:gutter="0"/>
          <w:cols w:space="720" w:num="1"/>
        </w:sectPr>
      </w:pPr>
      <w:r>
        <w:rPr>
          <w:rFonts w:eastAsia="Calibri" w:asciiTheme="minorHAnsi" w:hAnsiTheme="minorHAnsi"/>
        </w:rPr>
        <w:t>IV. CONCLUZIE FINALĂ</w:t>
      </w:r>
    </w:p>
    <w:p>
      <w:pPr>
        <w:spacing w:line="276" w:lineRule="auto"/>
        <w:jc w:val="both"/>
        <w:rPr>
          <w:rFonts w:eastAsia="Calibri" w:asciiTheme="minorHAnsi" w:hAnsiTheme="minorHAnsi"/>
        </w:rPr>
      </w:pPr>
      <w:r>
        <w:rPr>
          <w:rFonts w:eastAsia="Calibri" w:asciiTheme="minorHAnsi" w:hAnsiTheme="minorHAnsi"/>
        </w:rPr>
        <w:t xml:space="preserve">Urmareanalizeicontestaţieirealizate  la  GAL  PlatoulMehedinti,  contestaţiadepusă  de                      </w:t>
      </w:r>
      <w:r>
        <w:rPr>
          <w:rFonts w:eastAsia="Calibri" w:asciiTheme="minorHAnsi" w:hAnsiTheme="minorHAnsi"/>
        </w:rPr>
        <w:tab/>
      </w:r>
    </w:p>
    <w:p>
      <w:pPr>
        <w:spacing w:line="276" w:lineRule="auto"/>
        <w:jc w:val="both"/>
        <w:rPr>
          <w:rFonts w:eastAsia="Calibri" w:asciiTheme="minorHAnsi" w:hAnsiTheme="minorHAnsi"/>
        </w:rPr>
      </w:pPr>
      <w:r>
        <w:rPr>
          <w:rFonts w:eastAsia="Calibri" w:asciiTheme="minorHAnsi" w:hAnsiTheme="minorHAnsi"/>
        </w:rPr>
        <w:t>Estepropusă a fi admisă/parţialadmisăsaurespinsă (fiindnominalizateelementeleadmise, parţialadmisesaurespinse) proiectulfiindeligibil (cu condițiarevizuiriifundamentăriibugetare, însensuldiminuăriibugetului cu suma de ....... ,rezultândvaloareatotalăeligibilă de  .......... euro)/neeligibil. Prezentulraport de analiză a contestației a fostrealizat pe baza a dosaruluicererii de finanțareșicontestațieidepuse de solicitant.</w:t>
      </w:r>
    </w:p>
    <w:p>
      <w:pPr>
        <w:spacing w:line="276" w:lineRule="auto"/>
        <w:jc w:val="both"/>
        <w:rPr>
          <w:rFonts w:asciiTheme="minorHAnsi" w:hAnsiTheme="minorHAnsi"/>
        </w:rPr>
      </w:pPr>
    </w:p>
    <w:p>
      <w:pPr>
        <w:spacing w:line="276" w:lineRule="auto"/>
        <w:jc w:val="both"/>
        <w:rPr>
          <w:rFonts w:asciiTheme="minorHAnsi" w:hAnsiTheme="minorHAnsi"/>
        </w:rPr>
      </w:pPr>
    </w:p>
    <w:tbl>
      <w:tblPr>
        <w:tblStyle w:val="12"/>
        <w:tblW w:w="0" w:type="auto"/>
        <w:tblInd w:w="106" w:type="dxa"/>
        <w:tblLayout w:type="fixed"/>
        <w:tblCellMar>
          <w:top w:w="0" w:type="dxa"/>
          <w:left w:w="0" w:type="dxa"/>
          <w:bottom w:w="0" w:type="dxa"/>
          <w:right w:w="0" w:type="dxa"/>
        </w:tblCellMar>
      </w:tblPr>
      <w:tblGrid>
        <w:gridCol w:w="3795"/>
        <w:gridCol w:w="2410"/>
        <w:gridCol w:w="1560"/>
        <w:gridCol w:w="1558"/>
      </w:tblGrid>
      <w:tr>
        <w:tblPrEx>
          <w:tblCellMar>
            <w:top w:w="0" w:type="dxa"/>
            <w:left w:w="0" w:type="dxa"/>
            <w:bottom w:w="0" w:type="dxa"/>
            <w:right w:w="0" w:type="dxa"/>
          </w:tblCellMar>
        </w:tblPrEx>
        <w:trPr>
          <w:trHeight w:val="358"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Numeșiprenume</w:t>
            </w: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Semnătura</w:t>
            </w: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Data</w:t>
            </w:r>
          </w:p>
        </w:tc>
      </w:tr>
      <w:tr>
        <w:tblPrEx>
          <w:tblCellMar>
            <w:top w:w="0" w:type="dxa"/>
            <w:left w:w="0" w:type="dxa"/>
            <w:bottom w:w="0" w:type="dxa"/>
            <w:right w:w="0" w:type="dxa"/>
          </w:tblCellMar>
        </w:tblPrEx>
        <w:trPr>
          <w:trHeight w:val="360"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6"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411"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8"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bl>
    <w:p>
      <w:pPr>
        <w:spacing w:line="276" w:lineRule="auto"/>
        <w:jc w:val="both"/>
        <w:rPr>
          <w:rFonts w:asciiTheme="minorHAnsi" w:hAnsiTheme="minorHAnsi"/>
        </w:rPr>
        <w:sectPr>
          <w:type w:val="continuous"/>
          <w:pgSz w:w="12240" w:h="15840"/>
          <w:pgMar w:top="1720" w:right="940" w:bottom="280" w:left="1220" w:header="720" w:footer="720" w:gutter="0"/>
          <w:cols w:space="720" w:num="1"/>
        </w:sectPr>
      </w:pPr>
    </w:p>
    <w:p>
      <w:pPr>
        <w:spacing w:line="276" w:lineRule="auto"/>
        <w:jc w:val="both"/>
        <w:rPr>
          <w:rFonts w:eastAsia="Calibri" w:asciiTheme="minorHAnsi" w:hAnsiTheme="minorHAnsi"/>
          <w:b/>
        </w:rPr>
      </w:pPr>
      <w:r>
        <w:rPr>
          <w:rFonts w:eastAsia="Calibri" w:asciiTheme="minorHAnsi" w:hAnsiTheme="minorHAnsi"/>
          <w:b/>
        </w:rPr>
        <w:t>FISA DE SOLICITARE A INFORMATIILOR SUPLIMENTARE</w:t>
      </w:r>
    </w:p>
    <w:p>
      <w:pPr>
        <w:spacing w:line="276" w:lineRule="auto"/>
        <w:jc w:val="both"/>
        <w:rPr>
          <w:rFonts w:asciiTheme="minorHAnsi" w:hAnsiTheme="minorHAnsi"/>
        </w:rPr>
      </w:pPr>
    </w:p>
    <w:p>
      <w:pPr>
        <w:spacing w:line="276" w:lineRule="auto"/>
        <w:jc w:val="both"/>
        <w:rPr>
          <w:rFonts w:eastAsia="Arial" w:asciiTheme="minorHAnsi" w:hAnsiTheme="minorHAnsi"/>
        </w:rPr>
      </w:pPr>
      <w:r>
        <w:rPr>
          <w:rFonts w:eastAsia="Arial" w:asciiTheme="minorHAnsi" w:hAnsiTheme="minorHAnsi"/>
        </w:rPr>
        <w:t>GAL PLATOUL MEHEDINTI</w:t>
      </w:r>
    </w:p>
    <w:p>
      <w:pPr>
        <w:spacing w:line="276" w:lineRule="auto"/>
        <w:jc w:val="both"/>
        <w:rPr>
          <w:rFonts w:eastAsia="Arial" w:asciiTheme="minorHAnsi" w:hAnsiTheme="minorHAnsi"/>
        </w:rPr>
      </w:pPr>
      <w:r>
        <w:rPr>
          <w:rFonts w:eastAsia="Arial" w:asciiTheme="minorHAnsi" w:hAnsiTheme="minorHAnsi"/>
        </w:rPr>
        <w:t>Nr. de înregistrare: …………… /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In atentiadoamnei/domnului,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Văaducem la cunoştinţa, referitor la cererea de finanţaredepusa de …………………………….………. siînregistrata la GAL PlatoulMehedinti sub nr. ………………. /……………………… ,faptul ca înurmaverificăriiefectuate de experţii GAL a rezultatnecesitateaclarificăriiunorubiecte pe care vi le prezentamîn PARTEA I, pct.3 din acest formular.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Varugamsacompletaţipartea a- II-a a formularuluişisa-l returnaţi GAL PlatoulMehedintiîn maxim …………… zile lucrătoare de la data primirii. </w:t>
      </w:r>
    </w:p>
    <w:p>
      <w:pPr>
        <w:spacing w:line="276" w:lineRule="auto"/>
        <w:jc w:val="both"/>
        <w:rPr>
          <w:rFonts w:eastAsia="Arial" w:asciiTheme="minorHAnsi" w:hAnsiTheme="minorHAnsi"/>
        </w:rPr>
      </w:pPr>
    </w:p>
    <w:p>
      <w:pPr>
        <w:spacing w:line="276" w:lineRule="auto"/>
        <w:jc w:val="both"/>
        <w:rPr>
          <w:rFonts w:asciiTheme="minorHAnsi" w:hAnsiTheme="minorHAnsi"/>
        </w:rPr>
      </w:pPr>
      <w:r>
        <w:rPr>
          <w:rFonts w:asciiTheme="minorHAnsi" w:hAnsiTheme="minorHAnsi"/>
        </w:rPr>
        <w:t xml:space="preserve">Menţionămcăcerereadumneavoastră de finanţareva fi declarataneconforma/neeligibilaîncazulîn care răspunsuldumneavoastră nu ne parvineîntermenulmenţionatsaudocumentele nu respect cerinţelesau nu oferăclarificările solicitate.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Cu stimă, </w:t>
      </w:r>
    </w:p>
    <w:p>
      <w:pPr>
        <w:spacing w:line="276" w:lineRule="auto"/>
        <w:jc w:val="both"/>
        <w:rPr>
          <w:rFonts w:eastAsia="Arial" w:asciiTheme="minorHAnsi" w:hAnsiTheme="minorHAnsi"/>
        </w:rPr>
      </w:pPr>
      <w:r>
        <w:rPr>
          <w:rFonts w:eastAsia="Arial" w:asciiTheme="minorHAnsi" w:hAnsiTheme="minorHAnsi"/>
        </w:rPr>
        <w:t>Manager GAL PlatoulMehedinti</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Semnăturasiştampila: ……………………………………………………..</w:t>
      </w:r>
    </w:p>
    <w:p>
      <w:pPr>
        <w:spacing w:line="276" w:lineRule="auto"/>
        <w:jc w:val="both"/>
        <w:rPr>
          <w:rFonts w:eastAsia="Arial" w:asciiTheme="minorHAnsi" w:hAnsiTheme="minorHAnsi"/>
        </w:rPr>
      </w:pPr>
      <w:r>
        <w:rPr>
          <w:rFonts w:eastAsia="Arial" w:asciiTheme="minorHAnsi" w:hAnsiTheme="minorHAnsi"/>
        </w:rPr>
        <w:t>Data: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ab/>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PARTEA I </w:t>
      </w:r>
    </w:p>
    <w:p>
      <w:pPr>
        <w:spacing w:line="276" w:lineRule="auto"/>
        <w:jc w:val="both"/>
        <w:rPr>
          <w:rFonts w:eastAsia="Arial" w:asciiTheme="minorHAnsi" w:hAnsiTheme="minorHAnsi"/>
        </w:rPr>
      </w:pPr>
      <w:r>
        <w:rPr>
          <w:rFonts w:eastAsia="Arial" w:asciiTheme="minorHAnsi" w:hAnsiTheme="minorHAnsi"/>
        </w:rPr>
        <w:t xml:space="preserve">A se completa de expertul GAL PlatoulMehedinti: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Date de identificare a solicitantului</w:t>
      </w:r>
    </w:p>
    <w:p>
      <w:pPr>
        <w:spacing w:line="276" w:lineRule="auto"/>
        <w:jc w:val="both"/>
        <w:rPr>
          <w:rFonts w:eastAsia="Arial" w:asciiTheme="minorHAnsi" w:hAnsiTheme="minorHAnsi"/>
        </w:rPr>
      </w:pPr>
      <w:r>
        <w:rPr>
          <w:rFonts w:eastAsia="Arial" w:asciiTheme="minorHAnsi" w:hAnsiTheme="minorHAnsi"/>
        </w:rPr>
        <w:t>Denumireaorganizaţiei/Nume solicitant</w:t>
      </w:r>
    </w:p>
    <w:p>
      <w:pPr>
        <w:spacing w:line="276" w:lineRule="auto"/>
        <w:jc w:val="both"/>
        <w:rPr>
          <w:rFonts w:eastAsia="Arial" w:asciiTheme="minorHAnsi" w:hAnsiTheme="minorHAnsi"/>
        </w:rPr>
      </w:pPr>
      <w:r>
        <w:rPr>
          <w:rFonts w:eastAsia="Arial" w:asciiTheme="minorHAnsi" w:hAnsiTheme="minorHAnsi"/>
        </w:rPr>
        <w:t xml:space="preserve">Cod Unic de Inregistrare/CNP </w:t>
      </w:r>
    </w:p>
    <w:p>
      <w:pPr>
        <w:spacing w:line="276" w:lineRule="auto"/>
        <w:jc w:val="both"/>
        <w:rPr>
          <w:rFonts w:eastAsia="Arial" w:asciiTheme="minorHAnsi" w:hAnsiTheme="minorHAnsi"/>
        </w:rPr>
      </w:pPr>
      <w:r>
        <w:rPr>
          <w:rFonts w:eastAsia="Arial" w:asciiTheme="minorHAnsi" w:hAnsiTheme="minorHAnsi"/>
        </w:rPr>
        <w:t>Numeleşiprenumeleresponsabilului legal de proiect</w:t>
      </w:r>
    </w:p>
    <w:p>
      <w:pPr>
        <w:spacing w:line="276" w:lineRule="auto"/>
        <w:jc w:val="both"/>
        <w:rPr>
          <w:rFonts w:eastAsia="Arial" w:asciiTheme="minorHAnsi" w:hAnsiTheme="minorHAnsi"/>
        </w:rPr>
      </w:pPr>
      <w:r>
        <w:rPr>
          <w:rFonts w:eastAsia="Arial" w:asciiTheme="minorHAnsi" w:hAnsiTheme="minorHAnsi"/>
        </w:rPr>
        <w:t>Numărul de înregistrare a cererii de finanţare</w:t>
      </w:r>
    </w:p>
    <w:p>
      <w:pPr>
        <w:spacing w:line="276" w:lineRule="auto"/>
        <w:jc w:val="both"/>
        <w:rPr>
          <w:rFonts w:eastAsia="Arial" w:asciiTheme="minorHAnsi" w:hAnsiTheme="minorHAnsi"/>
        </w:rPr>
      </w:pPr>
      <w:r>
        <w:rPr>
          <w:rFonts w:eastAsia="Arial" w:asciiTheme="minorHAnsi" w:hAnsiTheme="minorHAnsi"/>
        </w:rPr>
        <w:t>Subiecte de clarificat</w:t>
      </w:r>
    </w:p>
    <w:p>
      <w:pPr>
        <w:spacing w:line="276" w:lineRule="auto"/>
        <w:jc w:val="both"/>
        <w:rPr>
          <w:rFonts w:eastAsia="Arial" w:asciiTheme="minorHAnsi" w:hAnsiTheme="minorHAnsi"/>
        </w:rPr>
      </w:pPr>
    </w:p>
    <w:tbl>
      <w:tblPr>
        <w:tblStyle w:val="42"/>
        <w:tblW w:w="9072" w:type="dxa"/>
        <w:jc w:val="center"/>
        <w:tblLayout w:type="autofit"/>
        <w:tblCellMar>
          <w:top w:w="8" w:type="dxa"/>
          <w:left w:w="107" w:type="dxa"/>
          <w:bottom w:w="0" w:type="dxa"/>
          <w:right w:w="51" w:type="dxa"/>
        </w:tblCellMar>
      </w:tblPr>
      <w:tblGrid>
        <w:gridCol w:w="709"/>
        <w:gridCol w:w="3730"/>
        <w:gridCol w:w="4633"/>
      </w:tblGrid>
      <w:tr>
        <w:tblPrEx>
          <w:tblCellMar>
            <w:top w:w="8" w:type="dxa"/>
            <w:left w:w="107" w:type="dxa"/>
            <w:bottom w:w="0" w:type="dxa"/>
            <w:right w:w="51" w:type="dxa"/>
          </w:tblCellMar>
        </w:tblPrEx>
        <w:trPr>
          <w:trHeight w:val="515" w:hRule="atLeast"/>
          <w:jc w:val="center"/>
        </w:trPr>
        <w:tc>
          <w:tcPr>
            <w:tcW w:w="709"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r>
              <w:rPr>
                <w:rFonts w:eastAsia="Arial" w:asciiTheme="minorHAnsi" w:hAnsiTheme="minorHAnsi"/>
                <w:sz w:val="24"/>
                <w:szCs w:val="24"/>
                <w:lang w:val="en-GB" w:eastAsia="en-GB"/>
              </w:rPr>
              <w:t xml:space="preserve">Nr. </w:t>
            </w:r>
          </w:p>
          <w:p>
            <w:pPr>
              <w:spacing w:line="276" w:lineRule="auto"/>
              <w:jc w:val="both"/>
              <w:rPr>
                <w:rFonts w:eastAsia="Arial" w:asciiTheme="minorHAnsi" w:hAnsiTheme="minorHAnsi"/>
                <w:sz w:val="24"/>
                <w:szCs w:val="24"/>
                <w:lang w:val="en-GB" w:eastAsia="en-GB"/>
              </w:rPr>
            </w:pPr>
            <w:r>
              <w:rPr>
                <w:rFonts w:eastAsia="Arial" w:asciiTheme="minorHAnsi" w:hAnsiTheme="minorHAnsi"/>
                <w:sz w:val="24"/>
                <w:szCs w:val="24"/>
                <w:lang w:val="en-GB" w:eastAsia="en-GB"/>
              </w:rPr>
              <w:t>Crt.</w:t>
            </w:r>
          </w:p>
        </w:tc>
        <w:tc>
          <w:tcPr>
            <w:tcW w:w="373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r>
              <w:rPr>
                <w:rFonts w:eastAsia="Arial" w:asciiTheme="minorHAnsi" w:hAnsiTheme="minorHAnsi"/>
                <w:sz w:val="24"/>
                <w:szCs w:val="24"/>
                <w:lang w:val="en-GB" w:eastAsia="en-GB"/>
              </w:rPr>
              <w:t>Referinta(document/pct.din doc.)</w:t>
            </w:r>
          </w:p>
        </w:tc>
        <w:tc>
          <w:tcPr>
            <w:tcW w:w="4633"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r>
              <w:rPr>
                <w:rFonts w:eastAsia="Arial" w:asciiTheme="minorHAnsi" w:hAnsiTheme="minorHAnsi"/>
                <w:sz w:val="24"/>
                <w:szCs w:val="24"/>
                <w:lang w:val="en-GB" w:eastAsia="en-GB"/>
              </w:rPr>
              <w:t>Subiecte de clarificat</w:t>
            </w:r>
          </w:p>
        </w:tc>
      </w:tr>
      <w:tr>
        <w:tblPrEx>
          <w:tblCellMar>
            <w:top w:w="8" w:type="dxa"/>
            <w:left w:w="107" w:type="dxa"/>
            <w:bottom w:w="0" w:type="dxa"/>
            <w:right w:w="51" w:type="dxa"/>
          </w:tblCellMar>
        </w:tblPrEx>
        <w:trPr>
          <w:trHeight w:val="339" w:hRule="atLeast"/>
          <w:jc w:val="center"/>
        </w:trPr>
        <w:tc>
          <w:tcPr>
            <w:tcW w:w="709"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p>
        </w:tc>
        <w:tc>
          <w:tcPr>
            <w:tcW w:w="373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p>
        </w:tc>
        <w:tc>
          <w:tcPr>
            <w:tcW w:w="4633"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p>
        </w:tc>
      </w:tr>
    </w:tbl>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rPr>
        <w:t xml:space="preserve">Pentrumotivarearăspunsuluidumneavoastrăvarugamsaataşaţiurmătoareledocumente: </w:t>
      </w:r>
    </w:p>
    <w:p>
      <w:pPr>
        <w:spacing w:line="276" w:lineRule="auto"/>
        <w:jc w:val="both"/>
        <w:rPr>
          <w:rFonts w:asciiTheme="minorHAnsi" w:hAnsiTheme="minorHAnsi"/>
        </w:rPr>
      </w:pPr>
      <w:r>
        <w:rPr>
          <w:rFonts w:asciiTheme="minorHAnsi" w:hAnsiTheme="minorHAnsi"/>
        </w:rPr>
        <w:t>Documentul 1</w:t>
      </w:r>
    </w:p>
    <w:p>
      <w:pPr>
        <w:spacing w:line="276" w:lineRule="auto"/>
        <w:jc w:val="both"/>
        <w:rPr>
          <w:rFonts w:asciiTheme="minorHAnsi" w:hAnsiTheme="minorHAnsi"/>
        </w:rPr>
      </w:pPr>
      <w:r>
        <w:rPr>
          <w:rFonts w:asciiTheme="minorHAnsi" w:hAnsiTheme="minorHAnsi"/>
        </w:rPr>
        <w:t>Documentul 2</w:t>
      </w:r>
    </w:p>
    <w:p>
      <w:pPr>
        <w:spacing w:line="276" w:lineRule="auto"/>
        <w:jc w:val="both"/>
        <w:rPr>
          <w:rFonts w:asciiTheme="minorHAnsi" w:hAnsiTheme="minorHAnsi"/>
        </w:rPr>
      </w:pPr>
      <w:r>
        <w:rPr>
          <w:rFonts w:asciiTheme="minorHAnsi" w:hAnsiTheme="minorHAnsi"/>
        </w:rPr>
        <w:t>Documentul 3</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rPr>
        <w:t xml:space="preserve">Avizat, </w:t>
      </w:r>
    </w:p>
    <w:p>
      <w:pPr>
        <w:spacing w:line="276" w:lineRule="auto"/>
        <w:jc w:val="both"/>
        <w:rPr>
          <w:rFonts w:asciiTheme="minorHAnsi" w:hAnsiTheme="minorHAnsi"/>
        </w:rPr>
      </w:pPr>
      <w:r>
        <w:rPr>
          <w:rFonts w:asciiTheme="minorHAnsi" w:hAnsiTheme="minorHAnsi"/>
        </w:rPr>
        <w:t>Expert 2 GAL PlatoulMehedinti</w:t>
      </w:r>
    </w:p>
    <w:p>
      <w:pPr>
        <w:spacing w:line="276" w:lineRule="auto"/>
        <w:jc w:val="both"/>
        <w:rPr>
          <w:rFonts w:asciiTheme="minorHAnsi" w:hAnsiTheme="minorHAnsi"/>
        </w:rPr>
      </w:pPr>
      <w:r>
        <w:rPr>
          <w:rFonts w:asciiTheme="minorHAnsi" w:hAnsiTheme="minorHAnsi"/>
        </w:rPr>
        <w:t>Nume/Prenume: …………………………………….</w:t>
      </w:r>
    </w:p>
    <w:p>
      <w:pPr>
        <w:spacing w:line="276" w:lineRule="auto"/>
        <w:jc w:val="both"/>
        <w:rPr>
          <w:rFonts w:asciiTheme="minorHAnsi" w:hAnsiTheme="minorHAnsi"/>
        </w:rPr>
      </w:pPr>
      <w:r>
        <w:rPr>
          <w:rFonts w:asciiTheme="minorHAnsi" w:hAnsiTheme="minorHAnsi"/>
        </w:rPr>
        <w:t>Semnatura: …………………………………………….</w:t>
      </w:r>
    </w:p>
    <w:p>
      <w:pPr>
        <w:spacing w:line="276" w:lineRule="auto"/>
        <w:jc w:val="both"/>
        <w:rPr>
          <w:rFonts w:asciiTheme="minorHAnsi" w:hAnsiTheme="minorHAnsi"/>
        </w:rPr>
      </w:pPr>
      <w:r>
        <w:rPr>
          <w:rFonts w:asciiTheme="minorHAnsi" w:hAnsiTheme="minorHAnsi"/>
        </w:rPr>
        <w:t>Data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asciiTheme="minorHAnsi" w:hAnsiTheme="minorHAnsi"/>
        </w:rPr>
      </w:pPr>
      <w:r>
        <w:rPr>
          <w:rFonts w:asciiTheme="minorHAnsi" w:hAnsiTheme="minorHAnsi"/>
        </w:rPr>
        <w:t>Intocmit,</w:t>
      </w:r>
    </w:p>
    <w:p>
      <w:pPr>
        <w:spacing w:line="276" w:lineRule="auto"/>
        <w:jc w:val="both"/>
        <w:rPr>
          <w:rFonts w:asciiTheme="minorHAnsi" w:hAnsiTheme="minorHAnsi"/>
        </w:rPr>
      </w:pPr>
      <w:r>
        <w:rPr>
          <w:rFonts w:asciiTheme="minorHAnsi" w:hAnsiTheme="minorHAnsi"/>
        </w:rPr>
        <w:t>Expert 1 GAL PlatoulMehedinti</w:t>
      </w:r>
    </w:p>
    <w:p>
      <w:pPr>
        <w:spacing w:line="276" w:lineRule="auto"/>
        <w:jc w:val="both"/>
        <w:rPr>
          <w:rFonts w:asciiTheme="minorHAnsi" w:hAnsiTheme="minorHAnsi"/>
        </w:rPr>
      </w:pPr>
      <w:r>
        <w:rPr>
          <w:rFonts w:asciiTheme="minorHAnsi" w:hAnsiTheme="minorHAnsi"/>
        </w:rPr>
        <w:t xml:space="preserve">Nume/Prenume: ……………………………………. </w:t>
      </w:r>
      <w:r>
        <w:rPr>
          <w:rFonts w:asciiTheme="minorHAnsi" w:hAnsiTheme="minorHAnsi"/>
        </w:rPr>
        <w:tab/>
      </w:r>
    </w:p>
    <w:p>
      <w:pPr>
        <w:spacing w:line="276" w:lineRule="auto"/>
        <w:jc w:val="both"/>
        <w:rPr>
          <w:rFonts w:asciiTheme="minorHAnsi" w:hAnsiTheme="minorHAnsi"/>
        </w:rPr>
      </w:pPr>
      <w:r>
        <w:rPr>
          <w:rFonts w:asciiTheme="minorHAnsi" w:hAnsiTheme="minorHAnsi"/>
        </w:rPr>
        <w:t xml:space="preserve">Semnatura: ……………………………………………. </w:t>
      </w:r>
    </w:p>
    <w:p>
      <w:pPr>
        <w:spacing w:line="276" w:lineRule="auto"/>
        <w:jc w:val="both"/>
        <w:rPr>
          <w:rFonts w:asciiTheme="minorHAnsi" w:hAnsiTheme="minorHAnsi"/>
        </w:rPr>
      </w:pPr>
      <w:r>
        <w:rPr>
          <w:rFonts w:asciiTheme="minorHAnsi" w:hAnsiTheme="minorHAnsi"/>
        </w:rPr>
        <w:t>Data…………………………………..</w:t>
      </w:r>
    </w:p>
    <w:p>
      <w:pPr>
        <w:spacing w:line="276" w:lineRule="auto"/>
        <w:jc w:val="both"/>
        <w:rPr>
          <w:rFonts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PARTEA II</w:t>
      </w:r>
    </w:p>
    <w:p>
      <w:pPr>
        <w:spacing w:line="276" w:lineRule="auto"/>
        <w:jc w:val="both"/>
        <w:rPr>
          <w:rFonts w:eastAsia="Arial" w:asciiTheme="minorHAnsi" w:hAnsiTheme="minorHAnsi"/>
        </w:rPr>
      </w:pPr>
      <w:r>
        <w:rPr>
          <w:rFonts w:eastAsia="Arial" w:asciiTheme="minorHAnsi" w:hAnsiTheme="minorHAnsi"/>
        </w:rPr>
        <w:t>A se completa de solicitant</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1. Precizărilereprezentantului legal al proiectuluireferitoare la solicitarilementionate in Partea I:</w:t>
      </w:r>
    </w:p>
    <w:p>
      <w:pPr>
        <w:spacing w:line="276" w:lineRule="auto"/>
        <w:jc w:val="both"/>
        <w:rPr>
          <w:rFonts w:eastAsia="Arial" w:asciiTheme="minorHAnsi" w:hAnsiTheme="minorHAnsi"/>
        </w:rPr>
      </w:pPr>
    </w:p>
    <w:tbl>
      <w:tblPr>
        <w:tblStyle w:val="12"/>
        <w:tblW w:w="43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1946"/>
        <w:gridCol w:w="5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672" w:type="pct"/>
            <w:vAlign w:val="center"/>
          </w:tcPr>
          <w:p>
            <w:pPr>
              <w:spacing w:line="276" w:lineRule="auto"/>
              <w:jc w:val="both"/>
              <w:rPr>
                <w:rFonts w:eastAsia="Arial" w:asciiTheme="minorHAnsi" w:hAnsiTheme="minorHAnsi"/>
              </w:rPr>
            </w:pPr>
            <w:r>
              <w:rPr>
                <w:rFonts w:eastAsia="Arial" w:asciiTheme="minorHAnsi" w:hAnsiTheme="minorHAnsi"/>
              </w:rPr>
              <w:t>Nr. crt.</w:t>
            </w:r>
          </w:p>
        </w:tc>
        <w:tc>
          <w:tcPr>
            <w:tcW w:w="1099" w:type="pct"/>
            <w:vAlign w:val="center"/>
          </w:tcPr>
          <w:p>
            <w:pPr>
              <w:spacing w:line="276" w:lineRule="auto"/>
              <w:jc w:val="both"/>
              <w:rPr>
                <w:rFonts w:eastAsia="Arial" w:asciiTheme="minorHAnsi" w:hAnsiTheme="minorHAnsi"/>
              </w:rPr>
            </w:pPr>
            <w:r>
              <w:rPr>
                <w:rFonts w:eastAsia="Arial" w:asciiTheme="minorHAnsi" w:hAnsiTheme="minorHAnsi"/>
              </w:rPr>
              <w:t>Referinţa</w:t>
            </w:r>
          </w:p>
          <w:p>
            <w:pPr>
              <w:spacing w:line="276" w:lineRule="auto"/>
              <w:jc w:val="both"/>
              <w:rPr>
                <w:rFonts w:eastAsia="Arial" w:asciiTheme="minorHAnsi" w:hAnsiTheme="minorHAnsi"/>
              </w:rPr>
            </w:pPr>
            <w:r>
              <w:rPr>
                <w:rFonts w:eastAsia="Arial" w:asciiTheme="minorHAnsi" w:hAnsiTheme="minorHAnsi"/>
              </w:rPr>
              <w:t>(document /pct. din doc.)</w:t>
            </w:r>
          </w:p>
        </w:tc>
        <w:tc>
          <w:tcPr>
            <w:tcW w:w="3229" w:type="pct"/>
            <w:vAlign w:val="center"/>
          </w:tcPr>
          <w:p>
            <w:pPr>
              <w:spacing w:line="276" w:lineRule="auto"/>
              <w:jc w:val="both"/>
              <w:rPr>
                <w:rFonts w:eastAsia="Arial" w:asciiTheme="minorHAnsi" w:hAnsiTheme="minorHAnsi"/>
              </w:rPr>
            </w:pPr>
            <w:r>
              <w:rPr>
                <w:rFonts w:eastAsia="Arial" w:asciiTheme="minorHAnsi" w:hAnsiTheme="minorHAnsi"/>
              </w:rPr>
              <w:t>Precizări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1</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2</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3</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4</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5</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bl>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Declarcă sunt de acord cu modificărileşiataşezurmătoareledocumente solicitate: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1................................................................................................................... în original / copie cu mentiunea conform cu originalul</w:t>
      </w:r>
    </w:p>
    <w:p>
      <w:pPr>
        <w:spacing w:line="276" w:lineRule="auto"/>
        <w:jc w:val="both"/>
        <w:rPr>
          <w:rFonts w:eastAsia="Arial" w:asciiTheme="minorHAnsi" w:hAnsiTheme="minorHAnsi"/>
        </w:rPr>
      </w:pPr>
      <w:r>
        <w:rPr>
          <w:rFonts w:eastAsia="Arial" w:asciiTheme="minorHAnsi" w:hAnsiTheme="minorHAnsi"/>
        </w:rPr>
        <w:t>2................................................................................................................... în original / copie cu mentiunea conform cu originalul</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ab/>
      </w:r>
      <w:r>
        <w:rPr>
          <w:rFonts w:eastAsia="Arial" w:asciiTheme="minorHAnsi" w:hAnsiTheme="minorHAnsi"/>
        </w:rPr>
        <w:t>In cazulîncare  nu respect  termenul de transmitere a documentelor sunt de acord ca cerereasa fie declarataneconforma/neeligibila.</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Reprezentant legal</w:t>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Semnaturasistampila</w:t>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p>
    <w:p>
      <w:pPr>
        <w:spacing w:line="276" w:lineRule="auto"/>
        <w:jc w:val="both"/>
        <w:rPr>
          <w:rFonts w:eastAsia="Arial" w:asciiTheme="minorHAnsi" w:hAnsiTheme="minorHAnsi"/>
        </w:rPr>
      </w:pPr>
      <w:r>
        <w:rPr>
          <w:rFonts w:eastAsia="Arial" w:asciiTheme="minorHAnsi" w:hAnsiTheme="minorHAnsi"/>
        </w:rPr>
        <w:t>Data :</w:t>
      </w:r>
      <w:r>
        <w:rPr>
          <w:rFonts w:eastAsia="Arial" w:asciiTheme="minorHAnsi" w:hAnsiTheme="minorHAnsi"/>
        </w:rPr>
        <w:tab/>
      </w:r>
    </w:p>
    <w:p>
      <w:pPr>
        <w:spacing w:line="276" w:lineRule="auto"/>
        <w:jc w:val="both"/>
        <w:rPr>
          <w:rFonts w:eastAsia="Arial"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 xml:space="preserve"> NOTIFICAREA CERERILOR DE FINANŢARE SELECTATE/NESELECTATE</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Nr. de înregistrare GAL PlatoulMehedinti</w:t>
      </w:r>
    </w:p>
    <w:p>
      <w:pPr>
        <w:spacing w:line="276" w:lineRule="auto"/>
        <w:jc w:val="both"/>
        <w:rPr>
          <w:rFonts w:eastAsia="Calibri" w:asciiTheme="minorHAnsi" w:hAnsiTheme="minorHAnsi"/>
        </w:rPr>
      </w:pPr>
      <w:r>
        <w:rPr>
          <w:rFonts w:eastAsia="Calibri" w:asciiTheme="minorHAnsi" w:hAnsiTheme="minorHAnsi"/>
        </w:rPr>
        <w:t>Data: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Numelesolicitantului: .............. Adresasolicitantului : .......................</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StimatăDoamnă/StimateDomnule, (numereprezentant legal)</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Ca răspuns la apelulul de proiecte ......................., a fost depusă la Grupul de Actiune LocalaPlatoulMehedinti, cererea de finanţare cu titlul „................................................” și înregistrată sub nr.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Vă informămcăînurmaverificăriicererii de finanţare la nivelul GAL PlatoulMehedintişidupăaprobareaRaportului de selectie …………………………….. din data de …………………, proiectuldumneavoastrăeste: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(sevamentionastatusul proiectului conform raportului de selectie: retrase, respinse, neeligibile, eligibileneselectateşieligibileselectate, precum sivaloareaeligibila a investitiei, valoareatotala a investitieisivaloareaajutorului public nerambursabil).</w:t>
      </w:r>
    </w:p>
    <w:p>
      <w:pPr>
        <w:spacing w:line="276" w:lineRule="auto"/>
        <w:jc w:val="both"/>
        <w:rPr>
          <w:rFonts w:eastAsia="Calibri" w:asciiTheme="minorHAnsi" w:hAnsiTheme="minorHAnsi"/>
        </w:rPr>
      </w:pPr>
      <w:r>
        <w:rPr>
          <w:rFonts w:eastAsia="Calibri" w:asciiTheme="minorHAnsi" w:hAnsiTheme="minorHAnsi"/>
        </w:rPr>
        <w:t>In cazul in care proiectul a fostdeclaratrespinssauneeligibil, se vorprezentamotivele care au stat la bazadeciziei.</w:t>
      </w:r>
    </w:p>
    <w:p>
      <w:pPr>
        <w:spacing w:line="276" w:lineRule="auto"/>
        <w:jc w:val="both"/>
        <w:rPr>
          <w:rFonts w:eastAsia="Calibri" w:asciiTheme="minorHAnsi" w:hAnsiTheme="minorHAnsi"/>
        </w:rPr>
      </w:pPr>
      <w:r>
        <w:rPr>
          <w:rFonts w:eastAsia="Calibri" w:asciiTheme="minorHAnsi" w:hAnsiTheme="minorHAnsi"/>
        </w:rPr>
        <w:t>……………………………………………………………….</w:t>
      </w:r>
    </w:p>
    <w:p>
      <w:pPr>
        <w:spacing w:line="276" w:lineRule="auto"/>
        <w:jc w:val="both"/>
        <w:rPr>
          <w:rFonts w:eastAsia="Calibri" w:asciiTheme="minorHAnsi" w:hAnsiTheme="minorHAnsi"/>
        </w:rPr>
      </w:pPr>
      <w:r>
        <w:rPr>
          <w:rFonts w:eastAsia="Calibri" w:asciiTheme="minorHAnsi" w:hAnsiTheme="minorHAnsi"/>
        </w:rPr>
        <w:t xml:space="preserve"> In cazul in care solicitantulestenotificat in bazarezultatelor din cadrulRaportului de SelectieIntermediar se vamentionasi:</w:t>
      </w:r>
    </w:p>
    <w:p>
      <w:pPr>
        <w:spacing w:line="276" w:lineRule="auto"/>
        <w:jc w:val="both"/>
        <w:rPr>
          <w:rFonts w:eastAsia="Calibri" w:asciiTheme="minorHAnsi" w:hAnsiTheme="minorHAnsi"/>
        </w:rPr>
      </w:pPr>
      <w:r>
        <w:rPr>
          <w:rFonts w:eastAsia="Calibri" w:asciiTheme="minorHAnsi" w:hAnsiTheme="minorHAnsi"/>
        </w:rPr>
        <w:t xml:space="preserve">Văcomunicămcă, după data primiriiprezenteinotificări, aveţiposibilitatea de a contestadeciziaîn termen de 5 zilelucrătoare de la primireanotificării. </w:t>
      </w:r>
    </w:p>
    <w:p>
      <w:pPr>
        <w:spacing w:line="276" w:lineRule="auto"/>
        <w:jc w:val="both"/>
        <w:rPr>
          <w:rFonts w:eastAsia="Calibri" w:asciiTheme="minorHAnsi" w:hAnsiTheme="minorHAnsi"/>
        </w:rPr>
      </w:pPr>
      <w:r>
        <w:rPr>
          <w:rFonts w:eastAsia="Calibri" w:asciiTheme="minorHAnsi" w:hAnsiTheme="minorHAnsi"/>
        </w:rPr>
        <w:t>Contestaţiava fi depusă la sediul GAL PlatoulMehedinti.</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Cu  stimă,</w:t>
      </w:r>
    </w:p>
    <w:p>
      <w:pPr>
        <w:spacing w:line="276" w:lineRule="auto"/>
        <w:jc w:val="both"/>
        <w:rPr>
          <w:rFonts w:eastAsia="Calibri" w:asciiTheme="minorHAnsi" w:hAnsiTheme="minorHAnsi"/>
        </w:rPr>
      </w:pPr>
      <w:r>
        <w:rPr>
          <w:rFonts w:eastAsia="Calibri" w:asciiTheme="minorHAnsi" w:hAnsiTheme="minorHAnsi"/>
        </w:rPr>
        <w:t>Reprezenant legal GAL PlatoulMehedinti</w:t>
      </w:r>
    </w:p>
    <w:p>
      <w:pPr>
        <w:spacing w:line="276" w:lineRule="auto"/>
        <w:jc w:val="both"/>
        <w:rPr>
          <w:rFonts w:eastAsia="Calibri" w:asciiTheme="minorHAnsi" w:hAnsiTheme="minorHAnsi"/>
        </w:rPr>
      </w:pPr>
      <w:r>
        <w:rPr>
          <w:rFonts w:eastAsia="Calibri" w:asciiTheme="minorHAnsi" w:hAnsiTheme="minorHAnsi"/>
        </w:rPr>
        <w:t xml:space="preserve">Numeprenume……....... </w:t>
      </w:r>
    </w:p>
    <w:p>
      <w:pPr>
        <w:spacing w:line="276" w:lineRule="auto"/>
        <w:jc w:val="both"/>
        <w:rPr>
          <w:rFonts w:eastAsia="Calibri" w:asciiTheme="minorHAnsi" w:hAnsiTheme="minorHAnsi"/>
        </w:rPr>
      </w:pPr>
      <w:r>
        <w:rPr>
          <w:rFonts w:eastAsia="Calibri" w:asciiTheme="minorHAnsi" w:hAnsiTheme="minorHAnsi"/>
        </w:rPr>
        <w:t>Semnătura…………</w:t>
      </w:r>
    </w:p>
    <w:p>
      <w:pPr>
        <w:spacing w:line="276" w:lineRule="auto"/>
        <w:jc w:val="both"/>
        <w:rPr>
          <w:rFonts w:eastAsia="Calibri" w:asciiTheme="minorHAnsi" w:hAnsiTheme="minorHAnsi"/>
        </w:rPr>
        <w:sectPr>
          <w:pgSz w:w="12240" w:h="15840"/>
          <w:pgMar w:top="1720" w:right="940" w:bottom="280" w:left="1300" w:header="427" w:footer="861" w:gutter="0"/>
          <w:cols w:space="720" w:num="1"/>
        </w:sectPr>
      </w:pPr>
      <w:r>
        <w:rPr>
          <w:rFonts w:eastAsia="Calibri" w:asciiTheme="minorHAnsi" w:hAnsiTheme="minorHAnsi"/>
        </w:rPr>
        <w:t>Data</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NOTIFICAREA SOLICITANTULUI PRIVIND CONTESTAȚIA DEPUSĂ</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Nr. de înregistrare GAL PlatoulMehedinti</w:t>
      </w:r>
    </w:p>
    <w:p>
      <w:pPr>
        <w:spacing w:line="276" w:lineRule="auto"/>
        <w:jc w:val="both"/>
        <w:rPr>
          <w:rFonts w:eastAsia="Calibri" w:asciiTheme="minorHAnsi" w:hAnsiTheme="minorHAnsi"/>
        </w:rPr>
      </w:pPr>
      <w:r>
        <w:rPr>
          <w:rFonts w:eastAsia="Calibri" w:asciiTheme="minorHAnsi" w:hAnsiTheme="minorHAnsi"/>
        </w:rPr>
        <w:t>Data: …………………..</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Numelesolicitantului: ............................................ Adresasolicitantului : ..........................................</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StimatăDoamnă/StimateDomnule, (numereprezentant legal)</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Ca  urmare  a  contestaţieidepusă  de  dumneavoastră  la  Grupul  de  ActiuneLocalaPlatoulMehedintişiînregistratăîn  data  ......  cu  nr.  .....  referitoare  lacererea  de  finanţare  nr.  ...............  cu    titlul ,,.....................................”, vă informăm că înurmaanalizei, contestaţiadumneavoastră a fostadmisă/parțialadmisă/respinsă, iarcererea de finanţareestedeclarată ………………………………..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Se vadetaliamotivareadeciziei, precum sivaloareaeligibilaainvestitiei, valoareatotala a investitieisivaloareaajutorului public nerambursabil.</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Cu  stimă,</w:t>
      </w:r>
    </w:p>
    <w:p>
      <w:pPr>
        <w:spacing w:line="276" w:lineRule="auto"/>
        <w:jc w:val="both"/>
        <w:rPr>
          <w:rFonts w:eastAsia="Calibri" w:asciiTheme="minorHAnsi" w:hAnsiTheme="minorHAnsi"/>
        </w:rPr>
      </w:pPr>
      <w:r>
        <w:rPr>
          <w:rFonts w:eastAsia="Calibri" w:asciiTheme="minorHAnsi" w:hAnsiTheme="minorHAnsi"/>
        </w:rPr>
        <w:t>Reprezentantlegal  GALPlatoulMehedinti</w:t>
      </w:r>
    </w:p>
    <w:p>
      <w:pPr>
        <w:spacing w:line="276" w:lineRule="auto"/>
        <w:jc w:val="both"/>
        <w:rPr>
          <w:rFonts w:eastAsia="Calibri" w:asciiTheme="minorHAnsi" w:hAnsiTheme="minorHAnsi"/>
        </w:rPr>
      </w:pPr>
      <w:r>
        <w:rPr>
          <w:rFonts w:eastAsia="Calibri" w:asciiTheme="minorHAnsi" w:hAnsiTheme="minorHAnsi"/>
        </w:rPr>
        <w:t xml:space="preserve">Numeprenume……....... </w:t>
      </w:r>
    </w:p>
    <w:p>
      <w:pPr>
        <w:spacing w:line="276" w:lineRule="auto"/>
        <w:jc w:val="both"/>
        <w:rPr>
          <w:rFonts w:eastAsia="Calibri" w:asciiTheme="minorHAnsi" w:hAnsiTheme="minorHAnsi"/>
        </w:rPr>
      </w:pPr>
      <w:r>
        <w:rPr>
          <w:rFonts w:eastAsia="Calibri" w:asciiTheme="minorHAnsi" w:hAnsiTheme="minorHAnsi"/>
        </w:rPr>
        <w:t>Semnătura…………</w:t>
      </w:r>
    </w:p>
    <w:p>
      <w:pPr>
        <w:spacing w:line="276" w:lineRule="auto"/>
        <w:jc w:val="both"/>
        <w:rPr>
          <w:rFonts w:eastAsia="Calibri" w:asciiTheme="minorHAnsi" w:hAnsiTheme="minorHAnsi"/>
        </w:rPr>
      </w:pPr>
      <w:r>
        <w:rPr>
          <w:rFonts w:eastAsia="Calibri" w:asciiTheme="minorHAnsi" w:hAnsiTheme="minorHAnsi"/>
        </w:rPr>
        <w:t>Data</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w:t>
      </w:r>
    </w:p>
    <w:p>
      <w:pPr>
        <w:spacing w:line="276" w:lineRule="auto"/>
        <w:jc w:val="both"/>
        <w:rPr>
          <w:rFonts w:eastAsia="Calibri" w:asciiTheme="minorHAnsi" w:hAnsiTheme="minorHAnsi"/>
        </w:rPr>
      </w:pPr>
      <w:r>
        <w:rPr>
          <w:rFonts w:eastAsia="Calibri" w:asciiTheme="minorHAnsi" w:hAnsiTheme="minorHAnsi"/>
        </w:rPr>
        <w:t>Nr. /dataînregistrare…………………………</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CERERE DE RENUNŢARE LA CEREREA DE FINANŢARE</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CĂTRE,</w:t>
      </w:r>
    </w:p>
    <w:p>
      <w:pPr>
        <w:spacing w:line="276" w:lineRule="auto"/>
        <w:jc w:val="both"/>
        <w:rPr>
          <w:rFonts w:eastAsia="Calibri" w:asciiTheme="minorHAnsi" w:hAnsiTheme="minorHAnsi"/>
        </w:rPr>
      </w:pPr>
      <w:r>
        <w:rPr>
          <w:rFonts w:eastAsia="Calibri" w:asciiTheme="minorHAnsi" w:hAnsiTheme="minorHAnsi"/>
        </w:rPr>
        <w:t>GAL PLATOUL MEHEDINTI</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Doamna/Domnule Director,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Vărugămsăaprobaţirenunţarea la cererea de finanţarepentruproiectul: „………………………….. ..........................................................................................................................................................” cu nr. de înregistrare …………………………………………………, depusînsesiunea ……………………in cadrulMasuriii ……..……………la GAL PLATOUL MEHEDINTI ………………….…………………… din următoarele motive: ……………………………………………………….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Reprezentant Solicitant</w:t>
      </w:r>
    </w:p>
    <w:p>
      <w:pPr>
        <w:spacing w:line="276" w:lineRule="auto"/>
        <w:jc w:val="both"/>
        <w:rPr>
          <w:rFonts w:eastAsia="Calibri" w:asciiTheme="minorHAnsi" w:hAnsiTheme="minorHAnsi"/>
        </w:rPr>
      </w:pPr>
      <w:r>
        <w:rPr>
          <w:rFonts w:eastAsia="Calibri" w:asciiTheme="minorHAnsi" w:hAnsiTheme="minorHAnsi"/>
        </w:rPr>
        <w:t>Nume, prenume</w:t>
      </w:r>
    </w:p>
    <w:p>
      <w:pPr>
        <w:spacing w:line="276" w:lineRule="auto"/>
        <w:jc w:val="both"/>
        <w:rPr>
          <w:rFonts w:eastAsia="Calibri" w:asciiTheme="minorHAnsi" w:hAnsiTheme="minorHAnsi"/>
        </w:rPr>
      </w:pPr>
      <w:r>
        <w:rPr>
          <w:rFonts w:eastAsia="Calibri" w:asciiTheme="minorHAnsi" w:hAnsiTheme="minorHAnsi"/>
        </w:rPr>
        <w:t>(Ştampila, Semnătura)</w:t>
      </w:r>
    </w:p>
    <w:p>
      <w:pPr>
        <w:spacing w:line="276" w:lineRule="auto"/>
        <w:jc w:val="both"/>
        <w:rPr>
          <w:rFonts w:eastAsia="Calibri" w:asciiTheme="minorHAnsi" w:hAnsiTheme="minorHAnsi"/>
        </w:rPr>
      </w:pPr>
    </w:p>
    <w:p>
      <w:pPr>
        <w:spacing w:line="276" w:lineRule="auto"/>
        <w:jc w:val="both"/>
        <w:rPr>
          <w:rFonts w:asciiTheme="minorHAnsi" w:hAnsiTheme="minorHAnsi"/>
        </w:rPr>
      </w:pPr>
    </w:p>
    <w:sectPr>
      <w:pgSz w:w="12240" w:h="15840"/>
      <w:pgMar w:top="1720" w:right="940" w:bottom="280" w:left="1300" w:header="427" w:footer="861"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engXian Light">
    <w:altName w:val="Segoe Print"/>
    <w:panose1 w:val="00000000000000000000"/>
    <w:charset w:val="00"/>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rebuchet MS">
    <w:panose1 w:val="020B0603020202020204"/>
    <w:charset w:val="00"/>
    <w:family w:val="swiss"/>
    <w:pitch w:val="default"/>
    <w:sig w:usb0="00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uto" w:vAnchor="text" w:hAnchor="margin" w:xAlign="right" w:y="1"/>
      <w:rPr>
        <w:rStyle w:val="20"/>
      </w:rPr>
    </w:pPr>
    <w:r>
      <w:rPr>
        <w:rStyle w:val="20"/>
      </w:rPr>
      <w:fldChar w:fldCharType="begin"/>
    </w:r>
    <w:r>
      <w:rPr>
        <w:rStyle w:val="20"/>
      </w:rPr>
      <w:instrText xml:space="preserve">PAGE  </w:instrText>
    </w:r>
    <w:r>
      <w:rPr>
        <w:rStyle w:val="20"/>
      </w:rPr>
      <w:fldChar w:fldCharType="separate"/>
    </w:r>
    <w:r>
      <w:rPr>
        <w:rStyle w:val="20"/>
      </w:rPr>
      <w:t>2</w:t>
    </w:r>
    <w:r>
      <w:rPr>
        <w:rStyle w:val="20"/>
      </w:rPr>
      <w:fldChar w:fldCharType="end"/>
    </w:r>
  </w:p>
  <w:p>
    <w:pPr>
      <w:spacing w:line="200" w:lineRule="exac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uto"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lang w:val="en-GB" w:eastAsia="en-GB"/>
      </w:rPr>
      <w:drawing>
        <wp:anchor distT="0" distB="0" distL="114300" distR="114300" simplePos="0" relativeHeight="251665408" behindDoc="0" locked="0" layoutInCell="1" allowOverlap="1">
          <wp:simplePos x="0" y="0"/>
          <wp:positionH relativeFrom="column">
            <wp:posOffset>4508500</wp:posOffset>
          </wp:positionH>
          <wp:positionV relativeFrom="paragraph">
            <wp:posOffset>-156845</wp:posOffset>
          </wp:positionV>
          <wp:extent cx="1085850" cy="570230"/>
          <wp:effectExtent l="0" t="0" r="6350" b="0"/>
          <wp:wrapTight wrapText="bothSides">
            <wp:wrapPolygon>
              <wp:start x="0" y="0"/>
              <wp:lineTo x="0" y="20205"/>
              <wp:lineTo x="21221" y="20205"/>
              <wp:lineTo x="2122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66432" behindDoc="0" locked="0" layoutInCell="1" allowOverlap="1">
          <wp:simplePos x="0" y="0"/>
          <wp:positionH relativeFrom="column">
            <wp:posOffset>5764530</wp:posOffset>
          </wp:positionH>
          <wp:positionV relativeFrom="paragraph">
            <wp:posOffset>-265430</wp:posOffset>
          </wp:positionV>
          <wp:extent cx="946150" cy="567690"/>
          <wp:effectExtent l="0" t="0" r="0" b="0"/>
          <wp:wrapTight wrapText="bothSides">
            <wp:wrapPolygon>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3571875</wp:posOffset>
          </wp:positionH>
          <wp:positionV relativeFrom="paragraph">
            <wp:posOffset>-269240</wp:posOffset>
          </wp:positionV>
          <wp:extent cx="1116330" cy="793115"/>
          <wp:effectExtent l="0" t="0" r="1270" b="0"/>
          <wp:wrapTight wrapText="bothSides">
            <wp:wrapPolygon>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2653030</wp:posOffset>
          </wp:positionH>
          <wp:positionV relativeFrom="paragraph">
            <wp:posOffset>-154940</wp:posOffset>
          </wp:positionV>
          <wp:extent cx="843915" cy="577215"/>
          <wp:effectExtent l="0" t="0" r="0" b="6985"/>
          <wp:wrapTight wrapText="bothSides">
            <wp:wrapPolygon>
              <wp:start x="0" y="0"/>
              <wp:lineTo x="0" y="20911"/>
              <wp:lineTo x="20804" y="20911"/>
              <wp:lineTo x="2080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843915" cy="57721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395605</wp:posOffset>
          </wp:positionH>
          <wp:positionV relativeFrom="paragraph">
            <wp:posOffset>-152400</wp:posOffset>
          </wp:positionV>
          <wp:extent cx="2046605" cy="688340"/>
          <wp:effectExtent l="0" t="0" r="10795" b="0"/>
          <wp:wrapTight wrapText="bothSides">
            <wp:wrapPolygon>
              <wp:start x="2413" y="797"/>
              <wp:lineTo x="804" y="4782"/>
              <wp:lineTo x="268" y="9565"/>
              <wp:lineTo x="804" y="15144"/>
              <wp:lineTo x="1877" y="19129"/>
              <wp:lineTo x="4825" y="19129"/>
              <wp:lineTo x="5093" y="17535"/>
              <wp:lineTo x="21446" y="13550"/>
              <wp:lineTo x="21446" y="5579"/>
              <wp:lineTo x="4289" y="797"/>
              <wp:lineTo x="2413" y="797"/>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046605" cy="688340"/>
                  </a:xfrm>
                  <a:prstGeom prst="rect">
                    <a:avLst/>
                  </a:prstGeom>
                </pic:spPr>
              </pic:pic>
            </a:graphicData>
          </a:graphic>
        </wp:anchor>
      </w:drawing>
    </w:r>
    <w:r>
      <w:rPr>
        <w:lang w:val="en-GB" w:eastAsia="en-GB"/>
      </w:rPr>
      <w:drawing>
        <wp:anchor distT="0" distB="0" distL="114300" distR="114300" simplePos="0" relativeHeight="251661312" behindDoc="0" locked="0" layoutInCell="1" allowOverlap="1">
          <wp:simplePos x="0" y="0"/>
          <wp:positionH relativeFrom="column">
            <wp:posOffset>-630555</wp:posOffset>
          </wp:positionH>
          <wp:positionV relativeFrom="paragraph">
            <wp:posOffset>-43180</wp:posOffset>
          </wp:positionV>
          <wp:extent cx="975360" cy="567690"/>
          <wp:effectExtent l="0" t="0" r="0" b="0"/>
          <wp:wrapTight wrapText="bothSides">
            <wp:wrapPolygon>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75360" cy="567690"/>
                  </a:xfrm>
                  <a:prstGeom prst="rect">
                    <a:avLst/>
                  </a:prstGeom>
                </pic:spPr>
              </pic:pic>
            </a:graphicData>
          </a:graphic>
        </wp:anchor>
      </w:drawing>
    </w:r>
    <w:r>
      <w:rPr>
        <w:lang w:val="en-GB" w:eastAsia="en-GB"/>
      </w:rPr>
      <w:drawing>
        <wp:anchor distT="0" distB="0" distL="114300" distR="114300" simplePos="0" relativeHeight="251664384"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wp:start x="0" y="0"/>
              <wp:lineTo x="0" y="20295"/>
              <wp:lineTo x="20875" y="20295"/>
              <wp:lineTo x="2087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p>
  <w:p>
    <w:pPr>
      <w:spacing w:line="20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851B26"/>
    <w:multiLevelType w:val="multilevel"/>
    <w:tmpl w:val="04851B26"/>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B96660E"/>
    <w:multiLevelType w:val="multilevel"/>
    <w:tmpl w:val="2B96660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EB75E08"/>
    <w:multiLevelType w:val="multilevel"/>
    <w:tmpl w:val="2EB75E08"/>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79687C"/>
    <w:multiLevelType w:val="multilevel"/>
    <w:tmpl w:val="3379687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37D82598"/>
    <w:multiLevelType w:val="multilevel"/>
    <w:tmpl w:val="37D82598"/>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55B3CFC"/>
    <w:multiLevelType w:val="multilevel"/>
    <w:tmpl w:val="555B3CFC"/>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60D4857"/>
    <w:multiLevelType w:val="multilevel"/>
    <w:tmpl w:val="660D4857"/>
    <w:lvl w:ilvl="0" w:tentative="0">
      <w:start w:val="1"/>
      <w:numFmt w:val="low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79A4241"/>
    <w:multiLevelType w:val="multilevel"/>
    <w:tmpl w:val="679A4241"/>
    <w:lvl w:ilvl="0" w:tentative="0">
      <w:start w:val="1"/>
      <w:numFmt w:val="decimal"/>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pStyle w:val="4"/>
      <w:lvlText w:val="%3."/>
      <w:lvlJc w:val="left"/>
      <w:pPr>
        <w:tabs>
          <w:tab w:val="left" w:pos="2160"/>
        </w:tabs>
        <w:ind w:left="2160" w:hanging="720"/>
      </w:pPr>
    </w:lvl>
    <w:lvl w:ilvl="3" w:tentative="0">
      <w:start w:val="1"/>
      <w:numFmt w:val="decimal"/>
      <w:pStyle w:val="5"/>
      <w:lvlText w:val="%4."/>
      <w:lvlJc w:val="left"/>
      <w:pPr>
        <w:tabs>
          <w:tab w:val="left" w:pos="2880"/>
        </w:tabs>
        <w:ind w:left="2880" w:hanging="720"/>
      </w:pPr>
    </w:lvl>
    <w:lvl w:ilvl="4" w:tentative="0">
      <w:start w:val="1"/>
      <w:numFmt w:val="decimal"/>
      <w:pStyle w:val="6"/>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pStyle w:val="8"/>
      <w:lvlText w:val="%7."/>
      <w:lvlJc w:val="left"/>
      <w:pPr>
        <w:tabs>
          <w:tab w:val="left" w:pos="5040"/>
        </w:tabs>
        <w:ind w:left="5040" w:hanging="720"/>
      </w:pPr>
    </w:lvl>
    <w:lvl w:ilvl="7" w:tentative="0">
      <w:start w:val="1"/>
      <w:numFmt w:val="decimal"/>
      <w:pStyle w:val="9"/>
      <w:lvlText w:val="%8."/>
      <w:lvlJc w:val="left"/>
      <w:pPr>
        <w:tabs>
          <w:tab w:val="left" w:pos="5760"/>
        </w:tabs>
        <w:ind w:left="5760" w:hanging="720"/>
      </w:pPr>
    </w:lvl>
    <w:lvl w:ilvl="8" w:tentative="0">
      <w:start w:val="1"/>
      <w:numFmt w:val="decimal"/>
      <w:pStyle w:val="10"/>
      <w:lvlText w:val="%9."/>
      <w:lvlJc w:val="left"/>
      <w:pPr>
        <w:tabs>
          <w:tab w:val="left" w:pos="6480"/>
        </w:tabs>
        <w:ind w:left="6480" w:hanging="720"/>
      </w:pPr>
    </w:lvl>
  </w:abstractNum>
  <w:abstractNum w:abstractNumId="8">
    <w:nsid w:val="6B085D02"/>
    <w:multiLevelType w:val="multilevel"/>
    <w:tmpl w:val="6B085D0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953408D"/>
    <w:multiLevelType w:val="multilevel"/>
    <w:tmpl w:val="7953408D"/>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F8B57DD"/>
    <w:multiLevelType w:val="multilevel"/>
    <w:tmpl w:val="7F8B57D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3"/>
  </w:num>
  <w:num w:numId="3">
    <w:abstractNumId w:val="6"/>
  </w:num>
  <w:num w:numId="4">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documentProtection w:enforcement="0"/>
  <w:defaultTabStop w:val="720"/>
  <w:hyphenationZone w:val="425"/>
  <w:characterSpacingControl w:val="doNotCompress"/>
  <w:compat>
    <w:compatSetting w:name="compatibilityMode" w:uri="http://schemas.microsoft.com/office/word" w:val="12"/>
  </w:compat>
  <w:rsids>
    <w:rsidRoot w:val="001B2521"/>
    <w:rsid w:val="00025F99"/>
    <w:rsid w:val="00035414"/>
    <w:rsid w:val="00035C18"/>
    <w:rsid w:val="00054E28"/>
    <w:rsid w:val="000669B6"/>
    <w:rsid w:val="000766B1"/>
    <w:rsid w:val="00083EA4"/>
    <w:rsid w:val="000864CE"/>
    <w:rsid w:val="0009298E"/>
    <w:rsid w:val="000942BC"/>
    <w:rsid w:val="00095215"/>
    <w:rsid w:val="000978B2"/>
    <w:rsid w:val="000A262A"/>
    <w:rsid w:val="000A7233"/>
    <w:rsid w:val="000B6879"/>
    <w:rsid w:val="000D25FD"/>
    <w:rsid w:val="000D41C0"/>
    <w:rsid w:val="000E7A87"/>
    <w:rsid w:val="000F329D"/>
    <w:rsid w:val="000F410E"/>
    <w:rsid w:val="00115160"/>
    <w:rsid w:val="001357D4"/>
    <w:rsid w:val="0013718E"/>
    <w:rsid w:val="0014131D"/>
    <w:rsid w:val="00143A84"/>
    <w:rsid w:val="001507A5"/>
    <w:rsid w:val="00150AB1"/>
    <w:rsid w:val="00162E56"/>
    <w:rsid w:val="001663B1"/>
    <w:rsid w:val="001975D7"/>
    <w:rsid w:val="001A4C3E"/>
    <w:rsid w:val="001B2521"/>
    <w:rsid w:val="001B6285"/>
    <w:rsid w:val="001B7700"/>
    <w:rsid w:val="001C34B6"/>
    <w:rsid w:val="001D0617"/>
    <w:rsid w:val="001F1F45"/>
    <w:rsid w:val="00204D3B"/>
    <w:rsid w:val="0022192E"/>
    <w:rsid w:val="00222D4B"/>
    <w:rsid w:val="0024423F"/>
    <w:rsid w:val="00264F2D"/>
    <w:rsid w:val="0027020F"/>
    <w:rsid w:val="0027722A"/>
    <w:rsid w:val="00277AB0"/>
    <w:rsid w:val="002820D1"/>
    <w:rsid w:val="00282FC9"/>
    <w:rsid w:val="00284EC7"/>
    <w:rsid w:val="00294E27"/>
    <w:rsid w:val="002952EA"/>
    <w:rsid w:val="002954D1"/>
    <w:rsid w:val="00296375"/>
    <w:rsid w:val="002A0BC8"/>
    <w:rsid w:val="002A556B"/>
    <w:rsid w:val="002B6CA2"/>
    <w:rsid w:val="002C3603"/>
    <w:rsid w:val="002D2DE2"/>
    <w:rsid w:val="002D60CB"/>
    <w:rsid w:val="002E63FB"/>
    <w:rsid w:val="003322C6"/>
    <w:rsid w:val="0034585C"/>
    <w:rsid w:val="00356CF2"/>
    <w:rsid w:val="00363C4C"/>
    <w:rsid w:val="003B29D8"/>
    <w:rsid w:val="003C4C70"/>
    <w:rsid w:val="003D00D6"/>
    <w:rsid w:val="003D296C"/>
    <w:rsid w:val="003D61B9"/>
    <w:rsid w:val="003D7C5D"/>
    <w:rsid w:val="0040268C"/>
    <w:rsid w:val="0040288C"/>
    <w:rsid w:val="00405DD2"/>
    <w:rsid w:val="004117D6"/>
    <w:rsid w:val="0042190F"/>
    <w:rsid w:val="004430DB"/>
    <w:rsid w:val="00451752"/>
    <w:rsid w:val="00480AF3"/>
    <w:rsid w:val="004827DD"/>
    <w:rsid w:val="004837CE"/>
    <w:rsid w:val="004848AE"/>
    <w:rsid w:val="00490599"/>
    <w:rsid w:val="00494B4C"/>
    <w:rsid w:val="004A0ECF"/>
    <w:rsid w:val="004B43F2"/>
    <w:rsid w:val="004C2917"/>
    <w:rsid w:val="005128D1"/>
    <w:rsid w:val="005139BE"/>
    <w:rsid w:val="0052543D"/>
    <w:rsid w:val="00546702"/>
    <w:rsid w:val="00551970"/>
    <w:rsid w:val="00556B8D"/>
    <w:rsid w:val="00557D34"/>
    <w:rsid w:val="005614C6"/>
    <w:rsid w:val="005705CD"/>
    <w:rsid w:val="00592E8C"/>
    <w:rsid w:val="005B0C60"/>
    <w:rsid w:val="005B1275"/>
    <w:rsid w:val="005C62AD"/>
    <w:rsid w:val="005C6724"/>
    <w:rsid w:val="005E0B27"/>
    <w:rsid w:val="00605EC4"/>
    <w:rsid w:val="00613740"/>
    <w:rsid w:val="00620E3C"/>
    <w:rsid w:val="006239AA"/>
    <w:rsid w:val="00626FE1"/>
    <w:rsid w:val="006609A9"/>
    <w:rsid w:val="0067526E"/>
    <w:rsid w:val="00675538"/>
    <w:rsid w:val="006A129B"/>
    <w:rsid w:val="006C6E4A"/>
    <w:rsid w:val="006D2779"/>
    <w:rsid w:val="006F14A2"/>
    <w:rsid w:val="006F2FFF"/>
    <w:rsid w:val="006F4043"/>
    <w:rsid w:val="00702D4B"/>
    <w:rsid w:val="00705B0E"/>
    <w:rsid w:val="00706308"/>
    <w:rsid w:val="007067BD"/>
    <w:rsid w:val="00707FF8"/>
    <w:rsid w:val="00715C9D"/>
    <w:rsid w:val="007219DB"/>
    <w:rsid w:val="00747C5F"/>
    <w:rsid w:val="00754FD7"/>
    <w:rsid w:val="007712A8"/>
    <w:rsid w:val="00781CF6"/>
    <w:rsid w:val="007927A5"/>
    <w:rsid w:val="00794081"/>
    <w:rsid w:val="00795986"/>
    <w:rsid w:val="007B2B0F"/>
    <w:rsid w:val="007C623E"/>
    <w:rsid w:val="007C63F4"/>
    <w:rsid w:val="007D615F"/>
    <w:rsid w:val="007E2692"/>
    <w:rsid w:val="007E4420"/>
    <w:rsid w:val="00802C20"/>
    <w:rsid w:val="00812842"/>
    <w:rsid w:val="0086529A"/>
    <w:rsid w:val="00867FC8"/>
    <w:rsid w:val="00876AA2"/>
    <w:rsid w:val="00880800"/>
    <w:rsid w:val="0088746E"/>
    <w:rsid w:val="008A5301"/>
    <w:rsid w:val="008A7BA3"/>
    <w:rsid w:val="008B213D"/>
    <w:rsid w:val="008D6FE5"/>
    <w:rsid w:val="008E4906"/>
    <w:rsid w:val="00904234"/>
    <w:rsid w:val="00910675"/>
    <w:rsid w:val="0091641E"/>
    <w:rsid w:val="00916FAA"/>
    <w:rsid w:val="009223B9"/>
    <w:rsid w:val="00926E1D"/>
    <w:rsid w:val="00955D0A"/>
    <w:rsid w:val="00960EAF"/>
    <w:rsid w:val="00963EC7"/>
    <w:rsid w:val="009724A1"/>
    <w:rsid w:val="00973EFD"/>
    <w:rsid w:val="0098529A"/>
    <w:rsid w:val="0098709D"/>
    <w:rsid w:val="00987FBE"/>
    <w:rsid w:val="0099588B"/>
    <w:rsid w:val="009B0DCC"/>
    <w:rsid w:val="009C3B0D"/>
    <w:rsid w:val="009C3C63"/>
    <w:rsid w:val="009C757F"/>
    <w:rsid w:val="009E0D42"/>
    <w:rsid w:val="009E1B1E"/>
    <w:rsid w:val="009E4C62"/>
    <w:rsid w:val="009F1256"/>
    <w:rsid w:val="009F3C03"/>
    <w:rsid w:val="00A14567"/>
    <w:rsid w:val="00A157DD"/>
    <w:rsid w:val="00A1686B"/>
    <w:rsid w:val="00A22B46"/>
    <w:rsid w:val="00A36610"/>
    <w:rsid w:val="00A40A58"/>
    <w:rsid w:val="00A52839"/>
    <w:rsid w:val="00A53925"/>
    <w:rsid w:val="00A70E10"/>
    <w:rsid w:val="00A71C27"/>
    <w:rsid w:val="00A82537"/>
    <w:rsid w:val="00AB6A4A"/>
    <w:rsid w:val="00AB74F6"/>
    <w:rsid w:val="00AC170A"/>
    <w:rsid w:val="00AC28F9"/>
    <w:rsid w:val="00AC2FCD"/>
    <w:rsid w:val="00AC6AFE"/>
    <w:rsid w:val="00AE55F2"/>
    <w:rsid w:val="00AF4968"/>
    <w:rsid w:val="00B14F23"/>
    <w:rsid w:val="00B361CE"/>
    <w:rsid w:val="00B41E89"/>
    <w:rsid w:val="00B47B11"/>
    <w:rsid w:val="00B50B63"/>
    <w:rsid w:val="00B56CBD"/>
    <w:rsid w:val="00B71C8D"/>
    <w:rsid w:val="00B83D50"/>
    <w:rsid w:val="00B864D6"/>
    <w:rsid w:val="00B86FC7"/>
    <w:rsid w:val="00B87FC3"/>
    <w:rsid w:val="00B90179"/>
    <w:rsid w:val="00B91596"/>
    <w:rsid w:val="00B9416B"/>
    <w:rsid w:val="00B95A82"/>
    <w:rsid w:val="00BA1C1B"/>
    <w:rsid w:val="00BB32CD"/>
    <w:rsid w:val="00BC0772"/>
    <w:rsid w:val="00BC3315"/>
    <w:rsid w:val="00BC3DA7"/>
    <w:rsid w:val="00BC40B3"/>
    <w:rsid w:val="00BC7F03"/>
    <w:rsid w:val="00BD1CEB"/>
    <w:rsid w:val="00BD43AC"/>
    <w:rsid w:val="00C05C42"/>
    <w:rsid w:val="00C103C8"/>
    <w:rsid w:val="00C10E26"/>
    <w:rsid w:val="00C135C9"/>
    <w:rsid w:val="00C15F14"/>
    <w:rsid w:val="00C23786"/>
    <w:rsid w:val="00C30C11"/>
    <w:rsid w:val="00C457D3"/>
    <w:rsid w:val="00C7143E"/>
    <w:rsid w:val="00C7146A"/>
    <w:rsid w:val="00C73189"/>
    <w:rsid w:val="00C76F61"/>
    <w:rsid w:val="00C85515"/>
    <w:rsid w:val="00C97F97"/>
    <w:rsid w:val="00CA2AC0"/>
    <w:rsid w:val="00CB1DD0"/>
    <w:rsid w:val="00CC321E"/>
    <w:rsid w:val="00CC743E"/>
    <w:rsid w:val="00CD0758"/>
    <w:rsid w:val="00CD1225"/>
    <w:rsid w:val="00CF32B6"/>
    <w:rsid w:val="00D01FAD"/>
    <w:rsid w:val="00D02FD4"/>
    <w:rsid w:val="00D05DF7"/>
    <w:rsid w:val="00D16C39"/>
    <w:rsid w:val="00D21D02"/>
    <w:rsid w:val="00D2572E"/>
    <w:rsid w:val="00D35904"/>
    <w:rsid w:val="00D55850"/>
    <w:rsid w:val="00D577A4"/>
    <w:rsid w:val="00D601B6"/>
    <w:rsid w:val="00D74DD7"/>
    <w:rsid w:val="00D8185E"/>
    <w:rsid w:val="00D90351"/>
    <w:rsid w:val="00D90909"/>
    <w:rsid w:val="00D9363B"/>
    <w:rsid w:val="00D9375C"/>
    <w:rsid w:val="00DB23A0"/>
    <w:rsid w:val="00DB2A00"/>
    <w:rsid w:val="00DC311E"/>
    <w:rsid w:val="00DC7DA6"/>
    <w:rsid w:val="00DD2C15"/>
    <w:rsid w:val="00DE6FF7"/>
    <w:rsid w:val="00E048FD"/>
    <w:rsid w:val="00E1380F"/>
    <w:rsid w:val="00E42936"/>
    <w:rsid w:val="00E60051"/>
    <w:rsid w:val="00E64656"/>
    <w:rsid w:val="00E81360"/>
    <w:rsid w:val="00E9497E"/>
    <w:rsid w:val="00EA69AE"/>
    <w:rsid w:val="00EB3196"/>
    <w:rsid w:val="00EB5A1E"/>
    <w:rsid w:val="00EC1551"/>
    <w:rsid w:val="00EC1791"/>
    <w:rsid w:val="00EC1AD3"/>
    <w:rsid w:val="00ED2554"/>
    <w:rsid w:val="00ED3BA3"/>
    <w:rsid w:val="00ED5421"/>
    <w:rsid w:val="00EE05A7"/>
    <w:rsid w:val="00EF5E91"/>
    <w:rsid w:val="00F01FA4"/>
    <w:rsid w:val="00F03AD1"/>
    <w:rsid w:val="00F34F7D"/>
    <w:rsid w:val="00F40FD1"/>
    <w:rsid w:val="00F43191"/>
    <w:rsid w:val="00F53593"/>
    <w:rsid w:val="00F56C9A"/>
    <w:rsid w:val="00F61D87"/>
    <w:rsid w:val="00F650C9"/>
    <w:rsid w:val="00F735F9"/>
    <w:rsid w:val="00F77DCF"/>
    <w:rsid w:val="00F834F4"/>
    <w:rsid w:val="00F9149B"/>
    <w:rsid w:val="00F93E1D"/>
    <w:rsid w:val="00F9490F"/>
    <w:rsid w:val="00F9556A"/>
    <w:rsid w:val="00F96D19"/>
    <w:rsid w:val="00FD0F67"/>
    <w:rsid w:val="00FD5239"/>
    <w:rsid w:val="21DB2721"/>
    <w:rsid w:val="3F170E3D"/>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31"/>
    <w:qFormat/>
    <w:uiPriority w:val="9"/>
    <w:pPr>
      <w:keepNext/>
      <w:spacing w:before="240" w:after="60"/>
      <w:ind w:left="720"/>
      <w:outlineLvl w:val="0"/>
    </w:pPr>
    <w:rPr>
      <w:rFonts w:asciiTheme="majorHAnsi" w:hAnsiTheme="majorHAnsi" w:eastAsiaTheme="majorEastAsia" w:cstheme="majorBidi"/>
      <w:b/>
      <w:bCs/>
      <w:kern w:val="32"/>
      <w:sz w:val="32"/>
      <w:szCs w:val="32"/>
    </w:rPr>
  </w:style>
  <w:style w:type="paragraph" w:styleId="3">
    <w:name w:val="heading 2"/>
    <w:basedOn w:val="1"/>
    <w:next w:val="1"/>
    <w:link w:val="32"/>
    <w:semiHidden/>
    <w:unhideWhenUsed/>
    <w:qFormat/>
    <w:uiPriority w:val="9"/>
    <w:pPr>
      <w:keepNext/>
      <w:numPr>
        <w:ilvl w:val="1"/>
        <w:numId w:val="1"/>
      </w:numPr>
      <w:spacing w:before="240" w:after="60"/>
      <w:outlineLvl w:val="1"/>
    </w:pPr>
    <w:rPr>
      <w:rFonts w:asciiTheme="majorHAnsi" w:hAnsiTheme="majorHAnsi" w:eastAsiaTheme="majorEastAsia" w:cstheme="majorBidi"/>
      <w:b/>
      <w:bCs/>
      <w:i/>
      <w:iCs/>
      <w:sz w:val="28"/>
      <w:szCs w:val="28"/>
    </w:rPr>
  </w:style>
  <w:style w:type="paragraph" w:styleId="4">
    <w:name w:val="heading 3"/>
    <w:basedOn w:val="1"/>
    <w:next w:val="1"/>
    <w:link w:val="33"/>
    <w:semiHidden/>
    <w:unhideWhenUsed/>
    <w:qFormat/>
    <w:uiPriority w:val="9"/>
    <w:pPr>
      <w:keepNext/>
      <w:numPr>
        <w:ilvl w:val="2"/>
        <w:numId w:val="1"/>
      </w:numPr>
      <w:spacing w:before="240" w:after="60"/>
      <w:outlineLvl w:val="2"/>
    </w:pPr>
    <w:rPr>
      <w:rFonts w:asciiTheme="majorHAnsi" w:hAnsiTheme="majorHAnsi" w:eastAsiaTheme="majorEastAsia" w:cstheme="majorBidi"/>
      <w:b/>
      <w:bCs/>
      <w:sz w:val="26"/>
      <w:szCs w:val="26"/>
    </w:rPr>
  </w:style>
  <w:style w:type="paragraph" w:styleId="5">
    <w:name w:val="heading 4"/>
    <w:basedOn w:val="1"/>
    <w:next w:val="1"/>
    <w:link w:val="34"/>
    <w:semiHidden/>
    <w:unhideWhenUsed/>
    <w:qFormat/>
    <w:uiPriority w:val="9"/>
    <w:pPr>
      <w:keepNext/>
      <w:numPr>
        <w:ilvl w:val="3"/>
        <w:numId w:val="1"/>
      </w:numPr>
      <w:spacing w:before="240" w:after="60"/>
      <w:outlineLvl w:val="3"/>
    </w:pPr>
    <w:rPr>
      <w:rFonts w:asciiTheme="minorHAnsi" w:hAnsiTheme="minorHAnsi" w:eastAsiaTheme="minorEastAsia" w:cstheme="minorBidi"/>
      <w:b/>
      <w:bCs/>
      <w:sz w:val="28"/>
      <w:szCs w:val="28"/>
    </w:rPr>
  </w:style>
  <w:style w:type="paragraph" w:styleId="6">
    <w:name w:val="heading 5"/>
    <w:basedOn w:val="1"/>
    <w:next w:val="1"/>
    <w:link w:val="35"/>
    <w:semiHidden/>
    <w:unhideWhenUsed/>
    <w:qFormat/>
    <w:uiPriority w:val="9"/>
    <w:pPr>
      <w:numPr>
        <w:ilvl w:val="4"/>
        <w:numId w:val="1"/>
      </w:numPr>
      <w:spacing w:before="240" w:after="60"/>
      <w:outlineLvl w:val="4"/>
    </w:pPr>
    <w:rPr>
      <w:rFonts w:asciiTheme="minorHAnsi" w:hAnsiTheme="minorHAnsi" w:eastAsiaTheme="minorEastAsia" w:cstheme="minorBidi"/>
      <w:b/>
      <w:bCs/>
      <w:i/>
      <w:iCs/>
      <w:sz w:val="26"/>
      <w:szCs w:val="26"/>
    </w:rPr>
  </w:style>
  <w:style w:type="paragraph" w:styleId="7">
    <w:name w:val="heading 6"/>
    <w:basedOn w:val="1"/>
    <w:next w:val="1"/>
    <w:link w:val="36"/>
    <w:qFormat/>
    <w:uiPriority w:val="0"/>
    <w:pPr>
      <w:spacing w:before="240" w:after="60"/>
      <w:ind w:left="4320"/>
      <w:outlineLvl w:val="5"/>
    </w:pPr>
    <w:rPr>
      <w:rFonts w:eastAsia="Calibri" w:asciiTheme="minorHAnsi" w:hAnsiTheme="minorHAnsi"/>
      <w:b/>
      <w:bCs/>
    </w:rPr>
  </w:style>
  <w:style w:type="paragraph" w:styleId="8">
    <w:name w:val="heading 7"/>
    <w:basedOn w:val="1"/>
    <w:next w:val="1"/>
    <w:link w:val="37"/>
    <w:semiHidden/>
    <w:unhideWhenUsed/>
    <w:qFormat/>
    <w:uiPriority w:val="9"/>
    <w:pPr>
      <w:numPr>
        <w:ilvl w:val="6"/>
        <w:numId w:val="1"/>
      </w:numPr>
      <w:spacing w:before="240" w:after="60"/>
      <w:outlineLvl w:val="6"/>
    </w:pPr>
    <w:rPr>
      <w:rFonts w:asciiTheme="minorHAnsi" w:hAnsiTheme="minorHAnsi" w:eastAsiaTheme="minorEastAsia" w:cstheme="minorBidi"/>
    </w:rPr>
  </w:style>
  <w:style w:type="paragraph" w:styleId="9">
    <w:name w:val="heading 8"/>
    <w:basedOn w:val="1"/>
    <w:next w:val="1"/>
    <w:link w:val="38"/>
    <w:semiHidden/>
    <w:unhideWhenUsed/>
    <w:qFormat/>
    <w:uiPriority w:val="9"/>
    <w:pPr>
      <w:numPr>
        <w:ilvl w:val="7"/>
        <w:numId w:val="1"/>
      </w:numPr>
      <w:spacing w:before="240" w:after="60"/>
      <w:outlineLvl w:val="7"/>
    </w:pPr>
    <w:rPr>
      <w:rFonts w:asciiTheme="minorHAnsi" w:hAnsiTheme="minorHAnsi" w:eastAsiaTheme="minorEastAsia" w:cstheme="minorBidi"/>
      <w:i/>
      <w:iCs/>
    </w:rPr>
  </w:style>
  <w:style w:type="paragraph" w:styleId="10">
    <w:name w:val="heading 9"/>
    <w:basedOn w:val="1"/>
    <w:next w:val="1"/>
    <w:link w:val="39"/>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5"/>
    <w:semiHidden/>
    <w:unhideWhenUsed/>
    <w:qFormat/>
    <w:uiPriority w:val="99"/>
    <w:rPr>
      <w:rFonts w:ascii="Tahoma" w:hAnsi="Tahoma" w:cs="Tahoma"/>
      <w:sz w:val="16"/>
      <w:szCs w:val="16"/>
    </w:rPr>
  </w:style>
  <w:style w:type="character" w:styleId="14">
    <w:name w:val="annotation reference"/>
    <w:basedOn w:val="11"/>
    <w:semiHidden/>
    <w:unhideWhenUsed/>
    <w:qFormat/>
    <w:uiPriority w:val="99"/>
    <w:rPr>
      <w:sz w:val="16"/>
      <w:szCs w:val="16"/>
    </w:rPr>
  </w:style>
  <w:style w:type="paragraph" w:styleId="15">
    <w:name w:val="annotation text"/>
    <w:basedOn w:val="1"/>
    <w:link w:val="47"/>
    <w:unhideWhenUsed/>
    <w:qFormat/>
    <w:uiPriority w:val="99"/>
    <w:rPr>
      <w:sz w:val="20"/>
      <w:szCs w:val="20"/>
    </w:rPr>
  </w:style>
  <w:style w:type="paragraph" w:styleId="16">
    <w:name w:val="annotation subject"/>
    <w:basedOn w:val="15"/>
    <w:next w:val="15"/>
    <w:link w:val="48"/>
    <w:semiHidden/>
    <w:unhideWhenUsed/>
    <w:qFormat/>
    <w:uiPriority w:val="99"/>
    <w:rPr>
      <w:b/>
      <w:bCs/>
    </w:rPr>
  </w:style>
  <w:style w:type="paragraph" w:styleId="17">
    <w:name w:val="footer"/>
    <w:basedOn w:val="1"/>
    <w:link w:val="41"/>
    <w:unhideWhenUsed/>
    <w:uiPriority w:val="99"/>
    <w:pPr>
      <w:tabs>
        <w:tab w:val="center" w:pos="4536"/>
        <w:tab w:val="right" w:pos="9072"/>
      </w:tabs>
    </w:pPr>
  </w:style>
  <w:style w:type="paragraph" w:styleId="18">
    <w:name w:val="header"/>
    <w:basedOn w:val="1"/>
    <w:link w:val="40"/>
    <w:unhideWhenUsed/>
    <w:uiPriority w:val="99"/>
    <w:pPr>
      <w:tabs>
        <w:tab w:val="center" w:pos="4536"/>
        <w:tab w:val="right" w:pos="9072"/>
      </w:tabs>
    </w:pPr>
  </w:style>
  <w:style w:type="character" w:styleId="19">
    <w:name w:val="Hyperlink"/>
    <w:basedOn w:val="11"/>
    <w:unhideWhenUsed/>
    <w:qFormat/>
    <w:uiPriority w:val="99"/>
    <w:rPr>
      <w:color w:val="0563C1" w:themeColor="hyperlink"/>
      <w:u w:val="single"/>
    </w:rPr>
  </w:style>
  <w:style w:type="character" w:styleId="20">
    <w:name w:val="page number"/>
    <w:basedOn w:val="11"/>
    <w:semiHidden/>
    <w:unhideWhenUsed/>
    <w:qFormat/>
    <w:uiPriority w:val="99"/>
  </w:style>
  <w:style w:type="table" w:styleId="2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2">
    <w:name w:val="toc 1"/>
    <w:basedOn w:val="1"/>
    <w:next w:val="1"/>
    <w:unhideWhenUsed/>
    <w:qFormat/>
    <w:uiPriority w:val="39"/>
    <w:pPr>
      <w:spacing w:before="120"/>
    </w:pPr>
    <w:rPr>
      <w:rFonts w:asciiTheme="minorHAnsi" w:hAnsiTheme="minorHAnsi"/>
      <w:b/>
    </w:rPr>
  </w:style>
  <w:style w:type="paragraph" w:styleId="23">
    <w:name w:val="toc 2"/>
    <w:basedOn w:val="1"/>
    <w:next w:val="1"/>
    <w:semiHidden/>
    <w:unhideWhenUsed/>
    <w:qFormat/>
    <w:uiPriority w:val="39"/>
    <w:pPr>
      <w:ind w:left="240"/>
    </w:pPr>
    <w:rPr>
      <w:rFonts w:asciiTheme="minorHAnsi" w:hAnsiTheme="minorHAnsi"/>
      <w:b/>
      <w:sz w:val="22"/>
      <w:szCs w:val="22"/>
    </w:rPr>
  </w:style>
  <w:style w:type="paragraph" w:styleId="24">
    <w:name w:val="toc 3"/>
    <w:basedOn w:val="1"/>
    <w:next w:val="1"/>
    <w:semiHidden/>
    <w:unhideWhenUsed/>
    <w:qFormat/>
    <w:uiPriority w:val="39"/>
    <w:pPr>
      <w:ind w:left="480"/>
    </w:pPr>
    <w:rPr>
      <w:rFonts w:asciiTheme="minorHAnsi" w:hAnsiTheme="minorHAnsi"/>
      <w:sz w:val="22"/>
      <w:szCs w:val="22"/>
    </w:rPr>
  </w:style>
  <w:style w:type="paragraph" w:styleId="25">
    <w:name w:val="toc 4"/>
    <w:basedOn w:val="1"/>
    <w:next w:val="1"/>
    <w:semiHidden/>
    <w:unhideWhenUsed/>
    <w:qFormat/>
    <w:uiPriority w:val="39"/>
    <w:pPr>
      <w:ind w:left="720"/>
    </w:pPr>
    <w:rPr>
      <w:rFonts w:asciiTheme="minorHAnsi" w:hAnsiTheme="minorHAnsi"/>
      <w:sz w:val="20"/>
      <w:szCs w:val="20"/>
    </w:rPr>
  </w:style>
  <w:style w:type="paragraph" w:styleId="26">
    <w:name w:val="toc 5"/>
    <w:basedOn w:val="1"/>
    <w:next w:val="1"/>
    <w:semiHidden/>
    <w:unhideWhenUsed/>
    <w:qFormat/>
    <w:uiPriority w:val="39"/>
    <w:pPr>
      <w:ind w:left="960"/>
    </w:pPr>
    <w:rPr>
      <w:rFonts w:asciiTheme="minorHAnsi" w:hAnsiTheme="minorHAnsi"/>
      <w:sz w:val="20"/>
      <w:szCs w:val="20"/>
    </w:rPr>
  </w:style>
  <w:style w:type="paragraph" w:styleId="27">
    <w:name w:val="toc 6"/>
    <w:basedOn w:val="1"/>
    <w:next w:val="1"/>
    <w:semiHidden/>
    <w:unhideWhenUsed/>
    <w:qFormat/>
    <w:uiPriority w:val="39"/>
    <w:pPr>
      <w:ind w:left="1200"/>
    </w:pPr>
    <w:rPr>
      <w:rFonts w:asciiTheme="minorHAnsi" w:hAnsiTheme="minorHAnsi"/>
      <w:sz w:val="20"/>
      <w:szCs w:val="20"/>
    </w:rPr>
  </w:style>
  <w:style w:type="paragraph" w:styleId="28">
    <w:name w:val="toc 7"/>
    <w:basedOn w:val="1"/>
    <w:next w:val="1"/>
    <w:semiHidden/>
    <w:unhideWhenUsed/>
    <w:qFormat/>
    <w:uiPriority w:val="39"/>
    <w:pPr>
      <w:ind w:left="1440"/>
    </w:pPr>
    <w:rPr>
      <w:rFonts w:asciiTheme="minorHAnsi" w:hAnsiTheme="minorHAnsi"/>
      <w:sz w:val="20"/>
      <w:szCs w:val="20"/>
    </w:rPr>
  </w:style>
  <w:style w:type="paragraph" w:styleId="29">
    <w:name w:val="toc 8"/>
    <w:basedOn w:val="1"/>
    <w:next w:val="1"/>
    <w:semiHidden/>
    <w:unhideWhenUsed/>
    <w:qFormat/>
    <w:uiPriority w:val="39"/>
    <w:pPr>
      <w:ind w:left="1680"/>
    </w:pPr>
    <w:rPr>
      <w:rFonts w:asciiTheme="minorHAnsi" w:hAnsiTheme="minorHAnsi"/>
      <w:sz w:val="20"/>
      <w:szCs w:val="20"/>
    </w:rPr>
  </w:style>
  <w:style w:type="paragraph" w:styleId="30">
    <w:name w:val="toc 9"/>
    <w:basedOn w:val="1"/>
    <w:next w:val="1"/>
    <w:semiHidden/>
    <w:unhideWhenUsed/>
    <w:qFormat/>
    <w:uiPriority w:val="39"/>
    <w:pPr>
      <w:ind w:left="1920"/>
    </w:pPr>
    <w:rPr>
      <w:rFonts w:asciiTheme="minorHAnsi" w:hAnsiTheme="minorHAnsi"/>
      <w:sz w:val="20"/>
      <w:szCs w:val="20"/>
    </w:rPr>
  </w:style>
  <w:style w:type="character" w:customStyle="1" w:styleId="31">
    <w:name w:val="Heading 1 Char"/>
    <w:basedOn w:val="11"/>
    <w:link w:val="2"/>
    <w:uiPriority w:val="9"/>
    <w:rPr>
      <w:rFonts w:asciiTheme="majorHAnsi" w:hAnsiTheme="majorHAnsi" w:eastAsiaTheme="majorEastAsia" w:cstheme="majorBidi"/>
      <w:b/>
      <w:bCs/>
      <w:kern w:val="32"/>
      <w:sz w:val="32"/>
      <w:szCs w:val="32"/>
    </w:rPr>
  </w:style>
  <w:style w:type="character" w:customStyle="1" w:styleId="32">
    <w:name w:val="Heading 2 Char"/>
    <w:basedOn w:val="11"/>
    <w:link w:val="3"/>
    <w:semiHidden/>
    <w:uiPriority w:val="9"/>
    <w:rPr>
      <w:rFonts w:asciiTheme="majorHAnsi" w:hAnsiTheme="majorHAnsi" w:eastAsiaTheme="majorEastAsia" w:cstheme="majorBidi"/>
      <w:b/>
      <w:bCs/>
      <w:i/>
      <w:iCs/>
      <w:sz w:val="28"/>
      <w:szCs w:val="28"/>
    </w:rPr>
  </w:style>
  <w:style w:type="character" w:customStyle="1" w:styleId="33">
    <w:name w:val="Heading 3 Char"/>
    <w:basedOn w:val="11"/>
    <w:link w:val="4"/>
    <w:semiHidden/>
    <w:uiPriority w:val="9"/>
    <w:rPr>
      <w:rFonts w:asciiTheme="majorHAnsi" w:hAnsiTheme="majorHAnsi" w:eastAsiaTheme="majorEastAsia" w:cstheme="majorBidi"/>
      <w:b/>
      <w:bCs/>
      <w:sz w:val="26"/>
      <w:szCs w:val="26"/>
    </w:rPr>
  </w:style>
  <w:style w:type="character" w:customStyle="1" w:styleId="34">
    <w:name w:val="Heading 4 Char"/>
    <w:basedOn w:val="11"/>
    <w:link w:val="5"/>
    <w:semiHidden/>
    <w:uiPriority w:val="9"/>
    <w:rPr>
      <w:rFonts w:eastAsiaTheme="minorEastAsia"/>
      <w:b/>
      <w:bCs/>
      <w:sz w:val="28"/>
      <w:szCs w:val="28"/>
    </w:rPr>
  </w:style>
  <w:style w:type="character" w:customStyle="1" w:styleId="35">
    <w:name w:val="Heading 5 Char"/>
    <w:basedOn w:val="11"/>
    <w:link w:val="6"/>
    <w:semiHidden/>
    <w:uiPriority w:val="9"/>
    <w:rPr>
      <w:rFonts w:eastAsiaTheme="minorEastAsia"/>
      <w:b/>
      <w:bCs/>
      <w:i/>
      <w:iCs/>
      <w:sz w:val="26"/>
      <w:szCs w:val="26"/>
    </w:rPr>
  </w:style>
  <w:style w:type="character" w:customStyle="1" w:styleId="36">
    <w:name w:val="Heading 6 Char"/>
    <w:basedOn w:val="11"/>
    <w:link w:val="7"/>
    <w:uiPriority w:val="0"/>
    <w:rPr>
      <w:rFonts w:eastAsia="Calibri" w:cs="Times New Roman"/>
      <w:b/>
      <w:bCs/>
    </w:rPr>
  </w:style>
  <w:style w:type="character" w:customStyle="1" w:styleId="37">
    <w:name w:val="Heading 7 Char"/>
    <w:basedOn w:val="11"/>
    <w:link w:val="8"/>
    <w:semiHidden/>
    <w:uiPriority w:val="9"/>
    <w:rPr>
      <w:rFonts w:eastAsiaTheme="minorEastAsia"/>
    </w:rPr>
  </w:style>
  <w:style w:type="character" w:customStyle="1" w:styleId="38">
    <w:name w:val="Heading 8 Char"/>
    <w:basedOn w:val="11"/>
    <w:link w:val="9"/>
    <w:semiHidden/>
    <w:uiPriority w:val="9"/>
    <w:rPr>
      <w:rFonts w:eastAsiaTheme="minorEastAsia"/>
      <w:i/>
      <w:iCs/>
    </w:rPr>
  </w:style>
  <w:style w:type="character" w:customStyle="1" w:styleId="39">
    <w:name w:val="Heading 9 Char"/>
    <w:basedOn w:val="11"/>
    <w:link w:val="10"/>
    <w:semiHidden/>
    <w:uiPriority w:val="9"/>
    <w:rPr>
      <w:rFonts w:asciiTheme="majorHAnsi" w:hAnsiTheme="majorHAnsi" w:eastAsiaTheme="majorEastAsia" w:cstheme="majorBidi"/>
      <w:sz w:val="22"/>
      <w:szCs w:val="22"/>
    </w:rPr>
  </w:style>
  <w:style w:type="character" w:customStyle="1" w:styleId="40">
    <w:name w:val="Header Char"/>
    <w:basedOn w:val="11"/>
    <w:link w:val="18"/>
    <w:uiPriority w:val="99"/>
    <w:rPr>
      <w:rFonts w:ascii="Times New Roman" w:hAnsi="Times New Roman" w:eastAsia="Times New Roman" w:cs="Times New Roman"/>
    </w:rPr>
  </w:style>
  <w:style w:type="character" w:customStyle="1" w:styleId="41">
    <w:name w:val="Footer Char"/>
    <w:basedOn w:val="11"/>
    <w:link w:val="17"/>
    <w:uiPriority w:val="99"/>
    <w:rPr>
      <w:rFonts w:ascii="Times New Roman" w:hAnsi="Times New Roman" w:eastAsia="Times New Roman" w:cs="Times New Roman"/>
    </w:rPr>
  </w:style>
  <w:style w:type="table" w:customStyle="1" w:styleId="42">
    <w:name w:val="TableGrid"/>
    <w:qFormat/>
    <w:uiPriority w:val="0"/>
    <w:rPr>
      <w:rFonts w:eastAsia="Times New Roman"/>
      <w:sz w:val="22"/>
      <w:szCs w:val="22"/>
      <w:lang w:val="en-GB" w:eastAsia="en-GB"/>
    </w:rPr>
    <w:tblPr>
      <w:tblCellMar>
        <w:top w:w="0" w:type="dxa"/>
        <w:left w:w="0" w:type="dxa"/>
        <w:bottom w:w="0" w:type="dxa"/>
        <w:right w:w="0" w:type="dxa"/>
      </w:tblCellMar>
    </w:tblPr>
  </w:style>
  <w:style w:type="paragraph" w:styleId="43">
    <w:name w:val="List Paragraph"/>
    <w:basedOn w:val="1"/>
    <w:link w:val="49"/>
    <w:qFormat/>
    <w:uiPriority w:val="34"/>
    <w:pPr>
      <w:spacing w:after="160" w:line="259" w:lineRule="auto"/>
      <w:ind w:left="720"/>
      <w:contextualSpacing/>
    </w:pPr>
    <w:rPr>
      <w:rFonts w:asciiTheme="minorHAnsi" w:hAnsiTheme="minorHAnsi" w:eastAsiaTheme="minorHAnsi" w:cstheme="minorBidi"/>
      <w:sz w:val="22"/>
      <w:szCs w:val="22"/>
      <w:lang w:val="en-GB"/>
    </w:rPr>
  </w:style>
  <w:style w:type="paragraph" w:customStyle="1" w:styleId="44">
    <w:name w:val="TOC Heading"/>
    <w:basedOn w:val="2"/>
    <w:next w:val="1"/>
    <w:unhideWhenUsed/>
    <w:qFormat/>
    <w:uiPriority w:val="39"/>
    <w:pPr>
      <w:keepLines/>
      <w:spacing w:before="480" w:after="0" w:line="276" w:lineRule="auto"/>
      <w:ind w:left="0"/>
      <w:outlineLvl w:val="9"/>
    </w:pPr>
    <w:rPr>
      <w:color w:val="2E75B5" w:themeColor="accent1" w:themeShade="BF"/>
      <w:kern w:val="0"/>
      <w:sz w:val="28"/>
      <w:szCs w:val="28"/>
    </w:rPr>
  </w:style>
  <w:style w:type="character" w:customStyle="1" w:styleId="45">
    <w:name w:val="Balloon Text Char"/>
    <w:basedOn w:val="11"/>
    <w:link w:val="13"/>
    <w:semiHidden/>
    <w:qFormat/>
    <w:uiPriority w:val="99"/>
    <w:rPr>
      <w:rFonts w:ascii="Tahoma" w:hAnsi="Tahoma" w:eastAsia="Times New Roman" w:cs="Tahoma"/>
      <w:sz w:val="16"/>
      <w:szCs w:val="16"/>
    </w:rPr>
  </w:style>
  <w:style w:type="paragraph" w:customStyle="1" w:styleId="46">
    <w:name w:val="Style15"/>
    <w:basedOn w:val="1"/>
    <w:qFormat/>
    <w:uiPriority w:val="0"/>
    <w:pPr>
      <w:widowControl w:val="0"/>
      <w:autoSpaceDE w:val="0"/>
      <w:autoSpaceDN w:val="0"/>
      <w:adjustRightInd w:val="0"/>
      <w:spacing w:line="338" w:lineRule="exact"/>
      <w:jc w:val="both"/>
    </w:pPr>
    <w:rPr>
      <w:rFonts w:ascii="Calibri" w:hAnsi="Calibri"/>
    </w:rPr>
  </w:style>
  <w:style w:type="character" w:customStyle="1" w:styleId="47">
    <w:name w:val="Comment Text Char"/>
    <w:basedOn w:val="11"/>
    <w:link w:val="15"/>
    <w:qFormat/>
    <w:uiPriority w:val="99"/>
    <w:rPr>
      <w:rFonts w:ascii="Times New Roman" w:hAnsi="Times New Roman" w:eastAsia="Times New Roman" w:cs="Times New Roman"/>
      <w:sz w:val="20"/>
      <w:szCs w:val="20"/>
    </w:rPr>
  </w:style>
  <w:style w:type="character" w:customStyle="1" w:styleId="48">
    <w:name w:val="Comment Subject Char"/>
    <w:basedOn w:val="47"/>
    <w:link w:val="16"/>
    <w:semiHidden/>
    <w:qFormat/>
    <w:uiPriority w:val="99"/>
    <w:rPr>
      <w:rFonts w:ascii="Times New Roman" w:hAnsi="Times New Roman" w:eastAsia="Times New Roman" w:cs="Times New Roman"/>
      <w:b/>
      <w:bCs/>
      <w:sz w:val="20"/>
      <w:szCs w:val="20"/>
    </w:rPr>
  </w:style>
  <w:style w:type="character" w:customStyle="1" w:styleId="49">
    <w:name w:val="List Paragraph Char"/>
    <w:link w:val="43"/>
    <w:qFormat/>
    <w:locked/>
    <w:uiPriority w:val="34"/>
    <w:rPr>
      <w:sz w:val="22"/>
      <w:szCs w:val="22"/>
      <w:lang w:val="en-GB"/>
    </w:rPr>
  </w:style>
  <w:style w:type="paragraph" w:styleId="50">
    <w:name w:val="No Spacing"/>
    <w:link w:val="51"/>
    <w:qFormat/>
    <w:uiPriority w:val="1"/>
    <w:rPr>
      <w:rFonts w:ascii="Arial" w:hAnsi="Arial" w:eastAsia="Times New Roman" w:cs="Times New Roman"/>
      <w:sz w:val="28"/>
      <w:szCs w:val="28"/>
      <w:lang w:val="en-US" w:eastAsia="en-US" w:bidi="ar-SA"/>
    </w:rPr>
  </w:style>
  <w:style w:type="character" w:customStyle="1" w:styleId="51">
    <w:name w:val="No Spacing Char"/>
    <w:link w:val="50"/>
    <w:qFormat/>
    <w:uiPriority w:val="1"/>
    <w:rPr>
      <w:rFonts w:ascii="Arial" w:hAnsi="Arial" w:eastAsia="Times New Roman" w:cs="Times New Roman"/>
      <w:sz w:val="28"/>
      <w:szCs w:val="28"/>
    </w:rPr>
  </w:style>
  <w:style w:type="paragraph" w:customStyle="1" w:styleId="52">
    <w:name w:val="Style4"/>
    <w:basedOn w:val="1"/>
    <w:qFormat/>
    <w:uiPriority w:val="0"/>
    <w:pPr>
      <w:widowControl w:val="0"/>
      <w:autoSpaceDE w:val="0"/>
      <w:autoSpaceDN w:val="0"/>
      <w:adjustRightInd w:val="0"/>
      <w:spacing w:line="336" w:lineRule="exact"/>
      <w:jc w:val="both"/>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diagramQuickStyle" Target="diagrams/quickStyle1.xml"/><Relationship Id="rId8" Type="http://schemas.openxmlformats.org/officeDocument/2006/relationships/diagramLayout" Target="diagrams/layout1.xml"/><Relationship Id="rId7" Type="http://schemas.openxmlformats.org/officeDocument/2006/relationships/diagramData" Target="diagrams/data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microsoft.com/office/2007/relationships/diagramDrawing" Target="diagrams/drawing1.xml"/><Relationship Id="rId10" Type="http://schemas.openxmlformats.org/officeDocument/2006/relationships/diagramColors" Target="diagrams/colors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 Id="rId3" Type="http://schemas.openxmlformats.org/officeDocument/2006/relationships/image" Target="media/image3.tiff"/><Relationship Id="rId2" Type="http://schemas.openxmlformats.org/officeDocument/2006/relationships/image" Target="media/image2.jpeg"/><Relationship Id="rId1" Type="http://schemas.openxmlformats.org/officeDocument/2006/relationships/image" Target="media/image1.tif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8B2F61B0-4A0F-5C47-A65F-A6832B0D4B8A}" type="doc">
      <dgm:prSet loTypeId="urn:microsoft.com/office/officeart/2005/8/layout/process4" loCatId="" qsTypeId="urn:microsoft.com/office/officeart/2005/8/quickstyle/simple4" qsCatId="simple" csTypeId="urn:microsoft.com/office/officeart/2005/8/colors/accent1_2" csCatId="accent1" phldr="1"/>
      <dgm:spPr/>
      <dgm:t>
        <a:bodyPr/>
        <a:p>
          <a:endParaRPr lang="en-US"/>
        </a:p>
      </dgm:t>
    </dgm:pt>
    <dgm:pt modelId="{91A40F1F-2349-F840-8EC3-E94A07E901AE}">
      <dgm:prSet phldrT="[Text]"/>
      <dgm:spPr/>
      <dgm:t>
        <a:bodyPr/>
        <a:p>
          <a:r>
            <a:rPr lang="en-US"/>
            <a:t>Compartimentul Administrativ</a:t>
          </a:r>
        </a:p>
      </dgm:t>
    </dgm:pt>
    <dgm:pt modelId="{01F5D684-C57B-564A-B6E5-4B25047B0451}" cxnId="{C6082B36-9E22-2E42-BF98-8C14B9F4D72C}" type="parTrans">
      <dgm:prSet/>
      <dgm:spPr/>
      <dgm:t>
        <a:bodyPr/>
        <a:p>
          <a:endParaRPr lang="en-US"/>
        </a:p>
      </dgm:t>
    </dgm:pt>
    <dgm:pt modelId="{4682C10F-4124-A04E-89F5-E22FCD138DDA}" cxnId="{C6082B36-9E22-2E42-BF98-8C14B9F4D72C}" type="sibTrans">
      <dgm:prSet/>
      <dgm:spPr/>
      <dgm:t>
        <a:bodyPr/>
        <a:p>
          <a:endParaRPr lang="en-US"/>
        </a:p>
      </dgm:t>
    </dgm:pt>
    <dgm:pt modelId="{74F6CE37-7BC1-E940-AA93-731579F14284}">
      <dgm:prSet phldrT="[Text]"/>
      <dgm:spPr/>
      <dgm:t>
        <a:bodyPr/>
        <a:p>
          <a:r>
            <a:rPr lang="en-US"/>
            <a:t>Verifică conformitatea, eligibilitatea şi îndeplinirea criteriilor de</a:t>
          </a:r>
        </a:p>
        <a:p>
          <a:r>
            <a:rPr lang="en-US"/>
            <a:t>selecţie pentru proiectele depuse la nivelul GAL</a:t>
          </a:r>
        </a:p>
      </dgm:t>
    </dgm:pt>
    <dgm:pt modelId="{808BA3D2-7F64-2E4B-AD41-12E90C6A957C}" cxnId="{94DD121C-46FE-1541-9E27-E1B45EBB78BE}" type="parTrans">
      <dgm:prSet/>
      <dgm:spPr/>
      <dgm:t>
        <a:bodyPr/>
        <a:p>
          <a:endParaRPr lang="en-US"/>
        </a:p>
      </dgm:t>
    </dgm:pt>
    <dgm:pt modelId="{C8FA70B0-357C-C24D-ACE8-20DEE042AC76}" cxnId="{94DD121C-46FE-1541-9E27-E1B45EBB78BE}" type="sibTrans">
      <dgm:prSet/>
      <dgm:spPr/>
      <dgm:t>
        <a:bodyPr/>
        <a:p>
          <a:endParaRPr lang="en-US"/>
        </a:p>
      </dgm:t>
    </dgm:pt>
    <dgm:pt modelId="{69839384-B8DC-0649-AA33-AF4B1A59E329}">
      <dgm:prSet phldrT="[Text]"/>
      <dgm:spPr/>
      <dgm:t>
        <a:bodyPr/>
        <a:p>
          <a:r>
            <a:rPr lang="en-US"/>
            <a:t>Comitetul de Selecţie a proiectelor</a:t>
          </a:r>
        </a:p>
      </dgm:t>
    </dgm:pt>
    <dgm:pt modelId="{CFD74130-B3DD-7E4A-921A-01B2A0E69CD3}" cxnId="{9F792B55-6989-EF46-8252-F6A07724EDA4}" type="parTrans">
      <dgm:prSet/>
      <dgm:spPr/>
      <dgm:t>
        <a:bodyPr/>
        <a:p>
          <a:endParaRPr lang="en-US"/>
        </a:p>
      </dgm:t>
    </dgm:pt>
    <dgm:pt modelId="{D4145647-3CFB-7C4B-90BA-1FD646370B1C}" cxnId="{9F792B55-6989-EF46-8252-F6A07724EDA4}" type="sibTrans">
      <dgm:prSet/>
      <dgm:spPr/>
      <dgm:t>
        <a:bodyPr/>
        <a:p>
          <a:endParaRPr lang="en-US"/>
        </a:p>
      </dgm:t>
    </dgm:pt>
    <dgm:pt modelId="{21D12B4B-2613-0148-956B-4EF3CBCAF15E}">
      <dgm:prSet phldrT="[Text]"/>
      <dgm:spPr/>
      <dgm:t>
        <a:bodyPr/>
        <a:p>
          <a:r>
            <a:rPr lang="en-US"/>
            <a:t>Comisia de contestaţii</a:t>
          </a:r>
        </a:p>
      </dgm:t>
    </dgm:pt>
    <dgm:pt modelId="{47BE180D-213F-1543-8BE5-1CCFCD7BC957}" cxnId="{66745B00-6BEA-7D4E-94EB-5A1BF346870F}" type="parTrans">
      <dgm:prSet/>
      <dgm:spPr/>
      <dgm:t>
        <a:bodyPr/>
        <a:p>
          <a:endParaRPr lang="en-US"/>
        </a:p>
      </dgm:t>
    </dgm:pt>
    <dgm:pt modelId="{7B71F30B-AD01-3D40-8BEB-D8B435407994}" cxnId="{66745B00-6BEA-7D4E-94EB-5A1BF346870F}" type="sibTrans">
      <dgm:prSet/>
      <dgm:spPr/>
      <dgm:t>
        <a:bodyPr/>
        <a:p>
          <a:endParaRPr lang="en-US"/>
        </a:p>
      </dgm:t>
    </dgm:pt>
    <dgm:pt modelId="{66AE6E05-A17F-DA46-A864-4BA2F4E57164}">
      <dgm:prSet/>
      <dgm:spPr/>
      <dgm:t>
        <a:bodyPr/>
        <a:p>
          <a:r>
            <a:rPr lang="en-US"/>
            <a:t>Are rol decizional cu privire la selecţia proiectelor depuse la nivelul GAL</a:t>
          </a:r>
        </a:p>
      </dgm:t>
    </dgm:pt>
    <dgm:pt modelId="{05950FAC-9BC3-6D48-9FD7-034B1F73F59C}" cxnId="{BCD268A5-97C3-394C-936C-5EF479AD4634}" type="parTrans">
      <dgm:prSet/>
      <dgm:spPr/>
      <dgm:t>
        <a:bodyPr/>
        <a:p>
          <a:endParaRPr lang="en-US"/>
        </a:p>
      </dgm:t>
    </dgm:pt>
    <dgm:pt modelId="{CF0D8954-9DEB-F84D-98C2-7D484A0AC3C0}" cxnId="{BCD268A5-97C3-394C-936C-5EF479AD4634}" type="sibTrans">
      <dgm:prSet/>
      <dgm:spPr/>
      <dgm:t>
        <a:bodyPr/>
        <a:p>
          <a:endParaRPr lang="en-US"/>
        </a:p>
      </dgm:t>
    </dgm:pt>
    <dgm:pt modelId="{07088797-B424-2245-8F7F-98E1D13D5567}">
      <dgm:prSet/>
      <dgm:spPr/>
      <dgm:t>
        <a:bodyPr/>
        <a:p>
          <a:r>
            <a:rPr lang="en-US"/>
            <a:t>Soluţionează contestaţiile depuse la nivelul GAL</a:t>
          </a:r>
        </a:p>
      </dgm:t>
    </dgm:pt>
    <dgm:pt modelId="{D947913D-63F6-344B-9647-D9420BBAC52C}" cxnId="{49DE50F2-2D88-D945-8254-FBBAA7C2C083}" type="parTrans">
      <dgm:prSet/>
      <dgm:spPr/>
      <dgm:t>
        <a:bodyPr/>
        <a:p>
          <a:endParaRPr lang="en-US"/>
        </a:p>
      </dgm:t>
    </dgm:pt>
    <dgm:pt modelId="{4418628B-0695-D547-8F49-5D0B36F6C222}" cxnId="{49DE50F2-2D88-D945-8254-FBBAA7C2C083}" type="sibTrans">
      <dgm:prSet/>
      <dgm:spPr/>
      <dgm:t>
        <a:bodyPr/>
        <a:p>
          <a:endParaRPr lang="en-US"/>
        </a:p>
      </dgm:t>
    </dgm:pt>
    <dgm:pt modelId="{2099FCC3-1FE8-2648-81A2-FCD3BC23A31F}" type="pres">
      <dgm:prSet presAssocID="{8B2F61B0-4A0F-5C47-A65F-A6832B0D4B8A}" presName="Name0" presStyleCnt="0">
        <dgm:presLayoutVars>
          <dgm:dir/>
          <dgm:animLvl val="lvl"/>
          <dgm:resizeHandles val="exact"/>
        </dgm:presLayoutVars>
      </dgm:prSet>
      <dgm:spPr/>
      <dgm:t>
        <a:bodyPr/>
        <a:p>
          <a:endParaRPr lang="en-GB"/>
        </a:p>
      </dgm:t>
    </dgm:pt>
    <dgm:pt modelId="{64277353-DA7B-A348-B66C-886F3FFF8D5A}" type="pres">
      <dgm:prSet presAssocID="{21D12B4B-2613-0148-956B-4EF3CBCAF15E}" presName="boxAndChildren" presStyleCnt="0"/>
      <dgm:spPr/>
    </dgm:pt>
    <dgm:pt modelId="{310A5374-32EB-DF43-8315-9D810F9AA4D2}" type="pres">
      <dgm:prSet presAssocID="{21D12B4B-2613-0148-956B-4EF3CBCAF15E}" presName="parentTextBox" presStyleLbl="node1" presStyleIdx="0" presStyleCnt="3"/>
      <dgm:spPr/>
      <dgm:t>
        <a:bodyPr/>
        <a:p>
          <a:endParaRPr lang="en-GB"/>
        </a:p>
      </dgm:t>
    </dgm:pt>
    <dgm:pt modelId="{0B5E9B12-AEB3-E346-AC5F-88666CDBC258}" type="pres">
      <dgm:prSet presAssocID="{21D12B4B-2613-0148-956B-4EF3CBCAF15E}" presName="entireBox" presStyleLbl="node1" presStyleIdx="0" presStyleCnt="3"/>
      <dgm:spPr/>
      <dgm:t>
        <a:bodyPr/>
        <a:p>
          <a:endParaRPr lang="en-GB"/>
        </a:p>
      </dgm:t>
    </dgm:pt>
    <dgm:pt modelId="{46656A57-D3C6-3742-AACB-DD9FC8C76BCE}" type="pres">
      <dgm:prSet presAssocID="{21D12B4B-2613-0148-956B-4EF3CBCAF15E}" presName="descendantBox" presStyleCnt="0"/>
      <dgm:spPr/>
    </dgm:pt>
    <dgm:pt modelId="{78372B54-4DBA-8541-BE64-C32E5D120191}" type="pres">
      <dgm:prSet presAssocID="{07088797-B424-2245-8F7F-98E1D13D5567}" presName="childTextBox" presStyleLbl="fgAccFollowNode1" presStyleIdx="0" presStyleCnt="3">
        <dgm:presLayoutVars>
          <dgm:bulletEnabled val="1"/>
        </dgm:presLayoutVars>
      </dgm:prSet>
      <dgm:spPr/>
      <dgm:t>
        <a:bodyPr/>
        <a:p>
          <a:endParaRPr lang="en-GB"/>
        </a:p>
      </dgm:t>
    </dgm:pt>
    <dgm:pt modelId="{B2BAC448-3123-C741-9F30-A02F9D4E273E}" type="pres">
      <dgm:prSet presAssocID="{D4145647-3CFB-7C4B-90BA-1FD646370B1C}" presName="sp" presStyleCnt="0"/>
      <dgm:spPr/>
    </dgm:pt>
    <dgm:pt modelId="{CC53E887-66FD-C84F-B939-F1E22126B8FA}" type="pres">
      <dgm:prSet presAssocID="{69839384-B8DC-0649-AA33-AF4B1A59E329}" presName="arrowAndChildren" presStyleCnt="0"/>
      <dgm:spPr/>
    </dgm:pt>
    <dgm:pt modelId="{EA9855B7-CED3-5B4F-8F49-9505C29CD7EE}" type="pres">
      <dgm:prSet presAssocID="{69839384-B8DC-0649-AA33-AF4B1A59E329}" presName="parentTextArrow" presStyleLbl="node1" presStyleIdx="0" presStyleCnt="3"/>
      <dgm:spPr/>
      <dgm:t>
        <a:bodyPr/>
        <a:p>
          <a:endParaRPr lang="en-GB"/>
        </a:p>
      </dgm:t>
    </dgm:pt>
    <dgm:pt modelId="{BBE17E6C-A90B-2649-BE56-5849D4874DA5}" type="pres">
      <dgm:prSet presAssocID="{69839384-B8DC-0649-AA33-AF4B1A59E329}" presName="arrow" presStyleLbl="node1" presStyleIdx="1" presStyleCnt="3"/>
      <dgm:spPr/>
      <dgm:t>
        <a:bodyPr/>
        <a:p>
          <a:endParaRPr lang="en-GB"/>
        </a:p>
      </dgm:t>
    </dgm:pt>
    <dgm:pt modelId="{FC0ECBCD-7222-8940-8E4C-9AFDDCCAC6A3}" type="pres">
      <dgm:prSet presAssocID="{69839384-B8DC-0649-AA33-AF4B1A59E329}" presName="descendantArrow" presStyleCnt="0"/>
      <dgm:spPr/>
    </dgm:pt>
    <dgm:pt modelId="{4337A12A-D2F8-9A41-A119-D6D290B45EBE}" type="pres">
      <dgm:prSet presAssocID="{66AE6E05-A17F-DA46-A864-4BA2F4E57164}" presName="childTextArrow" presStyleLbl="fgAccFollowNode1" presStyleIdx="1" presStyleCnt="3">
        <dgm:presLayoutVars>
          <dgm:bulletEnabled val="1"/>
        </dgm:presLayoutVars>
      </dgm:prSet>
      <dgm:spPr/>
      <dgm:t>
        <a:bodyPr/>
        <a:p>
          <a:endParaRPr lang="en-GB"/>
        </a:p>
      </dgm:t>
    </dgm:pt>
    <dgm:pt modelId="{E22CC77A-EF9E-0A45-8FCE-23B4FB7E8938}" type="pres">
      <dgm:prSet presAssocID="{4682C10F-4124-A04E-89F5-E22FCD138DDA}" presName="sp" presStyleCnt="0"/>
      <dgm:spPr/>
    </dgm:pt>
    <dgm:pt modelId="{C17E0A40-48A3-8F46-9B3F-550A69382370}" type="pres">
      <dgm:prSet presAssocID="{91A40F1F-2349-F840-8EC3-E94A07E901AE}" presName="arrowAndChildren" presStyleCnt="0"/>
      <dgm:spPr/>
    </dgm:pt>
    <dgm:pt modelId="{29BD1D4E-54C6-9642-83CB-AB82277E3882}" type="pres">
      <dgm:prSet presAssocID="{91A40F1F-2349-F840-8EC3-E94A07E901AE}" presName="parentTextArrow" presStyleLbl="node1" presStyleIdx="1" presStyleCnt="3"/>
      <dgm:spPr/>
      <dgm:t>
        <a:bodyPr/>
        <a:p>
          <a:endParaRPr lang="en-GB"/>
        </a:p>
      </dgm:t>
    </dgm:pt>
    <dgm:pt modelId="{0BBA89EA-AD3B-6E46-AF49-AC58AB696640}" type="pres">
      <dgm:prSet presAssocID="{91A40F1F-2349-F840-8EC3-E94A07E901AE}" presName="arrow" presStyleLbl="node1" presStyleIdx="2" presStyleCnt="3" custLinFactNeighborX="7882" custLinFactNeighborY="-4015"/>
      <dgm:spPr/>
      <dgm:t>
        <a:bodyPr/>
        <a:p>
          <a:endParaRPr lang="en-GB"/>
        </a:p>
      </dgm:t>
    </dgm:pt>
    <dgm:pt modelId="{B909BAD4-ABB9-5E43-B6F8-A9C7FDE66A38}" type="pres">
      <dgm:prSet presAssocID="{91A40F1F-2349-F840-8EC3-E94A07E901AE}" presName="descendantArrow" presStyleCnt="0"/>
      <dgm:spPr/>
    </dgm:pt>
    <dgm:pt modelId="{2154B82A-9548-D448-826D-EB83FEF09F1B}" type="pres">
      <dgm:prSet presAssocID="{74F6CE37-7BC1-E940-AA93-731579F14284}" presName="childTextArrow" presStyleLbl="fgAccFollowNode1" presStyleIdx="2" presStyleCnt="3">
        <dgm:presLayoutVars>
          <dgm:bulletEnabled val="1"/>
        </dgm:presLayoutVars>
      </dgm:prSet>
      <dgm:spPr/>
      <dgm:t>
        <a:bodyPr/>
        <a:p>
          <a:endParaRPr lang="en-GB"/>
        </a:p>
      </dgm:t>
    </dgm:pt>
  </dgm:ptLst>
  <dgm:cxnLst>
    <dgm:cxn modelId="{8DBCBCC1-7F61-42F7-8783-E8EFDD96A5EC}" type="presOf" srcId="{91A40F1F-2349-F840-8EC3-E94A07E901AE}" destId="{0BBA89EA-AD3B-6E46-AF49-AC58AB696640}" srcOrd="1" destOrd="0" presId="urn:microsoft.com/office/officeart/2005/8/layout/process4"/>
    <dgm:cxn modelId="{A3211407-A224-4B69-A530-63599EFA9485}" type="presOf" srcId="{07088797-B424-2245-8F7F-98E1D13D5567}" destId="{78372B54-4DBA-8541-BE64-C32E5D120191}" srcOrd="0" destOrd="0" presId="urn:microsoft.com/office/officeart/2005/8/layout/process4"/>
    <dgm:cxn modelId="{B12A09DF-B599-4175-9390-62C60D3A136C}" type="presOf" srcId="{8B2F61B0-4A0F-5C47-A65F-A6832B0D4B8A}" destId="{2099FCC3-1FE8-2648-81A2-FCD3BC23A31F}" srcOrd="0" destOrd="0" presId="urn:microsoft.com/office/officeart/2005/8/layout/process4"/>
    <dgm:cxn modelId="{12C206BA-8511-4F38-9F07-A1016A3E775F}" type="presOf" srcId="{66AE6E05-A17F-DA46-A864-4BA2F4E57164}" destId="{4337A12A-D2F8-9A41-A119-D6D290B45EBE}" srcOrd="0" destOrd="0" presId="urn:microsoft.com/office/officeart/2005/8/layout/process4"/>
    <dgm:cxn modelId="{7821E85F-C6AE-441F-BC80-7D8AB0FF32A2}" type="presOf" srcId="{21D12B4B-2613-0148-956B-4EF3CBCAF15E}" destId="{310A5374-32EB-DF43-8315-9D810F9AA4D2}" srcOrd="0" destOrd="0" presId="urn:microsoft.com/office/officeart/2005/8/layout/process4"/>
    <dgm:cxn modelId="{49DE50F2-2D88-D945-8254-FBBAA7C2C083}" srcId="{21D12B4B-2613-0148-956B-4EF3CBCAF15E}" destId="{07088797-B424-2245-8F7F-98E1D13D5567}" srcOrd="0" destOrd="0" parTransId="{D947913D-63F6-344B-9647-D9420BBAC52C}" sibTransId="{4418628B-0695-D547-8F49-5D0B36F6C222}"/>
    <dgm:cxn modelId="{C06335F8-1B23-43A5-9DDF-02BAC1EBCE35}" type="presOf" srcId="{74F6CE37-7BC1-E940-AA93-731579F14284}" destId="{2154B82A-9548-D448-826D-EB83FEF09F1B}" srcOrd="0" destOrd="0" presId="urn:microsoft.com/office/officeart/2005/8/layout/process4"/>
    <dgm:cxn modelId="{9FCABF0A-9477-4E30-A198-0468D8344D81}" type="presOf" srcId="{91A40F1F-2349-F840-8EC3-E94A07E901AE}" destId="{29BD1D4E-54C6-9642-83CB-AB82277E3882}" srcOrd="0" destOrd="0" presId="urn:microsoft.com/office/officeart/2005/8/layout/process4"/>
    <dgm:cxn modelId="{71791A00-E888-4B86-801E-2610EB45652C}" type="presOf" srcId="{69839384-B8DC-0649-AA33-AF4B1A59E329}" destId="{EA9855B7-CED3-5B4F-8F49-9505C29CD7EE}" srcOrd="0" destOrd="0" presId="urn:microsoft.com/office/officeart/2005/8/layout/process4"/>
    <dgm:cxn modelId="{C6082B36-9E22-2E42-BF98-8C14B9F4D72C}" srcId="{8B2F61B0-4A0F-5C47-A65F-A6832B0D4B8A}" destId="{91A40F1F-2349-F840-8EC3-E94A07E901AE}" srcOrd="0" destOrd="0" parTransId="{01F5D684-C57B-564A-B6E5-4B25047B0451}" sibTransId="{4682C10F-4124-A04E-89F5-E22FCD138DDA}"/>
    <dgm:cxn modelId="{9F792B55-6989-EF46-8252-F6A07724EDA4}" srcId="{8B2F61B0-4A0F-5C47-A65F-A6832B0D4B8A}" destId="{69839384-B8DC-0649-AA33-AF4B1A59E329}" srcOrd="1" destOrd="0" parTransId="{CFD74130-B3DD-7E4A-921A-01B2A0E69CD3}" sibTransId="{D4145647-3CFB-7C4B-90BA-1FD646370B1C}"/>
    <dgm:cxn modelId="{7FA74D04-C37B-4265-8C12-26BC1AF9FD39}" type="presOf" srcId="{21D12B4B-2613-0148-956B-4EF3CBCAF15E}" destId="{0B5E9B12-AEB3-E346-AC5F-88666CDBC258}" srcOrd="1" destOrd="0" presId="urn:microsoft.com/office/officeart/2005/8/layout/process4"/>
    <dgm:cxn modelId="{94DD121C-46FE-1541-9E27-E1B45EBB78BE}" srcId="{91A40F1F-2349-F840-8EC3-E94A07E901AE}" destId="{74F6CE37-7BC1-E940-AA93-731579F14284}" srcOrd="0" destOrd="0" parTransId="{808BA3D2-7F64-2E4B-AD41-12E90C6A957C}" sibTransId="{C8FA70B0-357C-C24D-ACE8-20DEE042AC76}"/>
    <dgm:cxn modelId="{3FE55E21-F5F4-4F28-A50D-D8E61A21B0E7}" type="presOf" srcId="{69839384-B8DC-0649-AA33-AF4B1A59E329}" destId="{BBE17E6C-A90B-2649-BE56-5849D4874DA5}" srcOrd="1" destOrd="0" presId="urn:microsoft.com/office/officeart/2005/8/layout/process4"/>
    <dgm:cxn modelId="{66745B00-6BEA-7D4E-94EB-5A1BF346870F}" srcId="{8B2F61B0-4A0F-5C47-A65F-A6832B0D4B8A}" destId="{21D12B4B-2613-0148-956B-4EF3CBCAF15E}" srcOrd="2" destOrd="0" parTransId="{47BE180D-213F-1543-8BE5-1CCFCD7BC957}" sibTransId="{7B71F30B-AD01-3D40-8BEB-D8B435407994}"/>
    <dgm:cxn modelId="{BCD268A5-97C3-394C-936C-5EF479AD4634}" srcId="{69839384-B8DC-0649-AA33-AF4B1A59E329}" destId="{66AE6E05-A17F-DA46-A864-4BA2F4E57164}" srcOrd="0" destOrd="0" parTransId="{05950FAC-9BC3-6D48-9FD7-034B1F73F59C}" sibTransId="{CF0D8954-9DEB-F84D-98C2-7D484A0AC3C0}"/>
    <dgm:cxn modelId="{E0FE937E-DACE-4C69-A725-03EBD29B006C}" type="presParOf" srcId="{2099FCC3-1FE8-2648-81A2-FCD3BC23A31F}" destId="{64277353-DA7B-A348-B66C-886F3FFF8D5A}" srcOrd="0" destOrd="0" presId="urn:microsoft.com/office/officeart/2005/8/layout/process4"/>
    <dgm:cxn modelId="{F7EE42BA-3C1A-4011-B06A-CD33451882BB}" type="presParOf" srcId="{64277353-DA7B-A348-B66C-886F3FFF8D5A}" destId="{310A5374-32EB-DF43-8315-9D810F9AA4D2}" srcOrd="0" destOrd="0" presId="urn:microsoft.com/office/officeart/2005/8/layout/process4"/>
    <dgm:cxn modelId="{FBBD0A3B-9C08-4DE4-A82C-5FB3C97DC0E2}" type="presParOf" srcId="{64277353-DA7B-A348-B66C-886F3FFF8D5A}" destId="{0B5E9B12-AEB3-E346-AC5F-88666CDBC258}" srcOrd="1" destOrd="0" presId="urn:microsoft.com/office/officeart/2005/8/layout/process4"/>
    <dgm:cxn modelId="{9B994492-8FA1-4FB2-A7D4-7977BE87355D}" type="presParOf" srcId="{64277353-DA7B-A348-B66C-886F3FFF8D5A}" destId="{46656A57-D3C6-3742-AACB-DD9FC8C76BCE}" srcOrd="2" destOrd="0" presId="urn:microsoft.com/office/officeart/2005/8/layout/process4"/>
    <dgm:cxn modelId="{FD5B95DF-F22A-48DB-9D38-243128FF17B2}" type="presParOf" srcId="{46656A57-D3C6-3742-AACB-DD9FC8C76BCE}" destId="{78372B54-4DBA-8541-BE64-C32E5D120191}" srcOrd="0" destOrd="0" presId="urn:microsoft.com/office/officeart/2005/8/layout/process4"/>
    <dgm:cxn modelId="{9CFC6D6E-8779-4A58-AC74-3BAD55128185}" type="presParOf" srcId="{2099FCC3-1FE8-2648-81A2-FCD3BC23A31F}" destId="{B2BAC448-3123-C741-9F30-A02F9D4E273E}" srcOrd="1" destOrd="0" presId="urn:microsoft.com/office/officeart/2005/8/layout/process4"/>
    <dgm:cxn modelId="{3DD9903A-FC9A-436E-B3E0-9795C8B27F4A}" type="presParOf" srcId="{2099FCC3-1FE8-2648-81A2-FCD3BC23A31F}" destId="{CC53E887-66FD-C84F-B939-F1E22126B8FA}" srcOrd="2" destOrd="0" presId="urn:microsoft.com/office/officeart/2005/8/layout/process4"/>
    <dgm:cxn modelId="{1BD0356D-B355-4D96-A690-6190E11B28AB}" type="presParOf" srcId="{CC53E887-66FD-C84F-B939-F1E22126B8FA}" destId="{EA9855B7-CED3-5B4F-8F49-9505C29CD7EE}" srcOrd="0" destOrd="0" presId="urn:microsoft.com/office/officeart/2005/8/layout/process4"/>
    <dgm:cxn modelId="{4EAD83B0-578C-4EA9-918A-FCBC25965B5F}" type="presParOf" srcId="{CC53E887-66FD-C84F-B939-F1E22126B8FA}" destId="{BBE17E6C-A90B-2649-BE56-5849D4874DA5}" srcOrd="1" destOrd="0" presId="urn:microsoft.com/office/officeart/2005/8/layout/process4"/>
    <dgm:cxn modelId="{F4489E70-52B8-40E5-B9C8-AFCD524090B8}" type="presParOf" srcId="{CC53E887-66FD-C84F-B939-F1E22126B8FA}" destId="{FC0ECBCD-7222-8940-8E4C-9AFDDCCAC6A3}" srcOrd="2" destOrd="0" presId="urn:microsoft.com/office/officeart/2005/8/layout/process4"/>
    <dgm:cxn modelId="{C7541B8F-8584-4613-9E67-A187DFCA885F}" type="presParOf" srcId="{FC0ECBCD-7222-8940-8E4C-9AFDDCCAC6A3}" destId="{4337A12A-D2F8-9A41-A119-D6D290B45EBE}" srcOrd="0" destOrd="0" presId="urn:microsoft.com/office/officeart/2005/8/layout/process4"/>
    <dgm:cxn modelId="{25107EEA-E095-4493-9FAD-3B866FF5E91A}" type="presParOf" srcId="{2099FCC3-1FE8-2648-81A2-FCD3BC23A31F}" destId="{E22CC77A-EF9E-0A45-8FCE-23B4FB7E8938}" srcOrd="3" destOrd="0" presId="urn:microsoft.com/office/officeart/2005/8/layout/process4"/>
    <dgm:cxn modelId="{ECBF259D-E372-4295-990A-C11B971000FB}" type="presParOf" srcId="{2099FCC3-1FE8-2648-81A2-FCD3BC23A31F}" destId="{C17E0A40-48A3-8F46-9B3F-550A69382370}" srcOrd="4" destOrd="0" presId="urn:microsoft.com/office/officeart/2005/8/layout/process4"/>
    <dgm:cxn modelId="{ED2999DE-CA20-43C9-A7D3-34BA1D866E09}" type="presParOf" srcId="{C17E0A40-48A3-8F46-9B3F-550A69382370}" destId="{29BD1D4E-54C6-9642-83CB-AB82277E3882}" srcOrd="0" destOrd="0" presId="urn:microsoft.com/office/officeart/2005/8/layout/process4"/>
    <dgm:cxn modelId="{B19F5E49-A8F5-446A-B2DD-3C867EEE746C}" type="presParOf" srcId="{C17E0A40-48A3-8F46-9B3F-550A69382370}" destId="{0BBA89EA-AD3B-6E46-AF49-AC58AB696640}" srcOrd="1" destOrd="0" presId="urn:microsoft.com/office/officeart/2005/8/layout/process4"/>
    <dgm:cxn modelId="{C0BD3536-8AF5-49EC-BF7B-FE691DF0D06D}" type="presParOf" srcId="{C17E0A40-48A3-8F46-9B3F-550A69382370}" destId="{B909BAD4-ABB9-5E43-B6F8-A9C7FDE66A38}" srcOrd="2" destOrd="0" presId="urn:microsoft.com/office/officeart/2005/8/layout/process4"/>
    <dgm:cxn modelId="{A26F4DD0-3938-40F3-8A27-365772D3A30D}" type="presParOf" srcId="{B909BAD4-ABB9-5E43-B6F8-A9C7FDE66A38}" destId="{2154B82A-9548-D448-826D-EB83FEF09F1B}" srcOrd="0" destOrd="0" presId="urn:microsoft.com/office/officeart/2005/8/layout/process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5E9B12-AEB3-E346-AC5F-88666CDBC258}">
      <dsp:nvSpPr>
        <dsp:cNvPr id="0" name=""/>
        <dsp:cNvSpPr/>
      </dsp:nvSpPr>
      <dsp:spPr>
        <a:xfrm>
          <a:off x="0" y="2458822"/>
          <a:ext cx="6033135" cy="807040"/>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marL="0" lvl="0" indent="0" algn="ctr" defTabSz="666750">
            <a:lnSpc>
              <a:spcPct val="90000"/>
            </a:lnSpc>
            <a:spcBef>
              <a:spcPct val="0"/>
            </a:spcBef>
            <a:spcAft>
              <a:spcPct val="35000"/>
            </a:spcAft>
            <a:buNone/>
          </a:pPr>
          <a:r>
            <a:rPr lang="en-US" sz="1500" kern="1200"/>
            <a:t>Comisia de contestaţii</a:t>
          </a:r>
        </a:p>
      </dsp:txBody>
      <dsp:txXfrm>
        <a:off x="0" y="2458822"/>
        <a:ext cx="6033135" cy="435801"/>
      </dsp:txXfrm>
    </dsp:sp>
    <dsp:sp modelId="{78372B54-4DBA-8541-BE64-C32E5D120191}">
      <dsp:nvSpPr>
        <dsp:cNvPr id="0" name=""/>
        <dsp:cNvSpPr/>
      </dsp:nvSpPr>
      <dsp:spPr>
        <a:xfrm>
          <a:off x="0" y="2878483"/>
          <a:ext cx="6033135" cy="371238"/>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marL="0" lvl="0" indent="0" algn="ctr" defTabSz="444500">
            <a:lnSpc>
              <a:spcPct val="90000"/>
            </a:lnSpc>
            <a:spcBef>
              <a:spcPct val="0"/>
            </a:spcBef>
            <a:spcAft>
              <a:spcPct val="35000"/>
            </a:spcAft>
            <a:buNone/>
          </a:pPr>
          <a:r>
            <a:rPr lang="en-US" sz="1000" kern="1200"/>
            <a:t>Soluţionează contestaţiile depuse la nivelul GAL</a:t>
          </a:r>
        </a:p>
      </dsp:txBody>
      <dsp:txXfrm>
        <a:off x="0" y="2878483"/>
        <a:ext cx="6033135" cy="371238"/>
      </dsp:txXfrm>
    </dsp:sp>
    <dsp:sp modelId="{BBE17E6C-A90B-2649-BE56-5849D4874DA5}">
      <dsp:nvSpPr>
        <dsp:cNvPr id="0" name=""/>
        <dsp:cNvSpPr/>
      </dsp:nvSpPr>
      <dsp:spPr>
        <a:xfrm rot="10800000">
          <a:off x="0" y="1229699"/>
          <a:ext cx="6033135" cy="1241228"/>
        </a:xfrm>
        <a:prstGeom prst="upArrowCallou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marL="0" lvl="0" indent="0" algn="ctr" defTabSz="666750">
            <a:lnSpc>
              <a:spcPct val="90000"/>
            </a:lnSpc>
            <a:spcBef>
              <a:spcPct val="0"/>
            </a:spcBef>
            <a:spcAft>
              <a:spcPct val="35000"/>
            </a:spcAft>
            <a:buNone/>
          </a:pPr>
          <a:r>
            <a:rPr lang="en-US" sz="1500" kern="1200"/>
            <a:t>Comitetul de Selecţie a proiectelor</a:t>
          </a:r>
        </a:p>
      </dsp:txBody>
      <dsp:txXfrm rot="-10800000">
        <a:off x="0" y="1229699"/>
        <a:ext cx="6033135" cy="435671"/>
      </dsp:txXfrm>
    </dsp:sp>
    <dsp:sp modelId="{4337A12A-D2F8-9A41-A119-D6D290B45EBE}">
      <dsp:nvSpPr>
        <dsp:cNvPr id="0" name=""/>
        <dsp:cNvSpPr/>
      </dsp:nvSpPr>
      <dsp:spPr>
        <a:xfrm>
          <a:off x="0" y="1665370"/>
          <a:ext cx="6033135" cy="371127"/>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marL="0" lvl="0" indent="0" algn="ctr" defTabSz="444500">
            <a:lnSpc>
              <a:spcPct val="90000"/>
            </a:lnSpc>
            <a:spcBef>
              <a:spcPct val="0"/>
            </a:spcBef>
            <a:spcAft>
              <a:spcPct val="35000"/>
            </a:spcAft>
            <a:buNone/>
          </a:pPr>
          <a:r>
            <a:rPr lang="en-US" sz="1000" kern="1200"/>
            <a:t>Are rol decizional cu privire la selecţia proiectelor depuse la nivelul GAL</a:t>
          </a:r>
        </a:p>
      </dsp:txBody>
      <dsp:txXfrm>
        <a:off x="0" y="1665370"/>
        <a:ext cx="6033135" cy="371127"/>
      </dsp:txXfrm>
    </dsp:sp>
    <dsp:sp modelId="{0BBA89EA-AD3B-6E46-AF49-AC58AB696640}">
      <dsp:nvSpPr>
        <dsp:cNvPr id="0" name=""/>
        <dsp:cNvSpPr/>
      </dsp:nvSpPr>
      <dsp:spPr>
        <a:xfrm rot="10800000">
          <a:off x="0" y="0"/>
          <a:ext cx="6033135" cy="1241228"/>
        </a:xfrm>
        <a:prstGeom prst="upArrowCallou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6680" tIns="106680" rIns="106680" bIns="106680" numCol="1" spcCol="1270" anchor="ctr" anchorCtr="0">
          <a:noAutofit/>
        </a:bodyPr>
        <a:lstStyle/>
        <a:p>
          <a:pPr marL="0" lvl="0" indent="0" algn="ctr" defTabSz="666750">
            <a:lnSpc>
              <a:spcPct val="90000"/>
            </a:lnSpc>
            <a:spcBef>
              <a:spcPct val="0"/>
            </a:spcBef>
            <a:spcAft>
              <a:spcPct val="35000"/>
            </a:spcAft>
            <a:buNone/>
          </a:pPr>
          <a:r>
            <a:rPr lang="en-US" sz="1500" kern="1200"/>
            <a:t>Compartimentul Administrativ</a:t>
          </a:r>
        </a:p>
      </dsp:txBody>
      <dsp:txXfrm rot="-10800000">
        <a:off x="0" y="0"/>
        <a:ext cx="6033135" cy="435671"/>
      </dsp:txXfrm>
    </dsp:sp>
    <dsp:sp modelId="{2154B82A-9548-D448-826D-EB83FEF09F1B}">
      <dsp:nvSpPr>
        <dsp:cNvPr id="0" name=""/>
        <dsp:cNvSpPr/>
      </dsp:nvSpPr>
      <dsp:spPr>
        <a:xfrm>
          <a:off x="0" y="436248"/>
          <a:ext cx="6033135" cy="371127"/>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marL="0" lvl="0" indent="0" algn="ctr" defTabSz="444500">
            <a:lnSpc>
              <a:spcPct val="90000"/>
            </a:lnSpc>
            <a:spcBef>
              <a:spcPct val="0"/>
            </a:spcBef>
            <a:spcAft>
              <a:spcPct val="35000"/>
            </a:spcAft>
            <a:buNone/>
          </a:pPr>
          <a:r>
            <a:rPr lang="en-US" sz="1000" kern="1200"/>
            <a:t>Verifică conformitatea, eligibilitatea şi îndeplinirea criteriilor de</a:t>
          </a:r>
        </a:p>
        <a:p>
          <a:pPr marL="0" lvl="0" indent="0" algn="ctr" defTabSz="444500">
            <a:lnSpc>
              <a:spcPct val="90000"/>
            </a:lnSpc>
            <a:spcBef>
              <a:spcPct val="0"/>
            </a:spcBef>
            <a:spcAft>
              <a:spcPct val="35000"/>
            </a:spcAft>
            <a:buNone/>
          </a:pPr>
          <a:r>
            <a:rPr lang="en-US" sz="1000" kern="1200"/>
            <a:t>selecţie pentru proiectele depuse la nivelul GAL</a:t>
          </a:r>
        </a:p>
      </dsp:txBody>
      <dsp:txXfrm>
        <a:off x="0" y="436248"/>
        <a:ext cx="6033135" cy="37112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type="upArrowCallout" r:blip="" rot="180">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type="upArrowCallout" r:blip="" rot="180">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asst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txPr/>
    <dgm:style>
      <a:lnRef idx="0">
        <a:scrgbClr r="0" g="0" b="0"/>
      </a:lnRef>
      <a:fillRef idx="3">
        <a:scrgbClr r="0" g="0" b="0"/>
      </a:fillRef>
      <a:effectRef idx="2">
        <a:scrgbClr r="0" g="0" b="0"/>
      </a:effectRef>
      <a:fontRef idx="minor"/>
    </dgm:style>
  </dgm:styleLbl>
  <dgm:styleLbl name="f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0">
        <a:scrgbClr r="0" g="0" b="0"/>
      </a:lnRef>
      <a:fillRef idx="3">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7"/>
    <customShpInfo spid="_x0000_s1026"/>
    <customShpInfo spid="_x0000_s1046"/>
    <customShpInfo spid="_x0000_s1045"/>
    <customShpInfo spid="_x0000_s1044"/>
    <customShpInfo spid="_x0000_s1043"/>
    <customShpInfo spid="_x0000_s1042"/>
    <customShpInfo spid="_x0000_s1041"/>
    <customShpInfo spid="_x0000_s1028"/>
    <customShpInfo spid="_x0000_s1030"/>
    <customShpInfo spid="_x0000_s1029"/>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862E18-7955-468C-90BC-F87D505A46E0}">
  <ds:schemaRefs/>
</ds:datastoreItem>
</file>

<file path=docProps/app.xml><?xml version="1.0" encoding="utf-8"?>
<Properties xmlns="http://schemas.openxmlformats.org/officeDocument/2006/extended-properties" xmlns:vt="http://schemas.openxmlformats.org/officeDocument/2006/docPropsVTypes">
  <Template>Normal</Template>
  <Pages>44</Pages>
  <Words>12590</Words>
  <Characters>71765</Characters>
  <Lines>598</Lines>
  <Paragraphs>168</Paragraphs>
  <TotalTime>14</TotalTime>
  <ScaleCrop>false</ScaleCrop>
  <LinksUpToDate>false</LinksUpToDate>
  <CharactersWithSpaces>84187</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2023-02-07T07:10:00Z</dcterms:created>
  <dc:creator>Microsoft Office User</dc:creator>
  <cp:lastModifiedBy>PC</cp:lastModifiedBy>
  <dcterms:modified xsi:type="dcterms:W3CDTF">2023-11-21T10:05:09Z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D46E5F452B9748ED9C2058CC1BBA8347_12</vt:lpwstr>
  </property>
</Properties>
</file>